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6A" w:rsidRDefault="00337195" w:rsidP="00226A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F27627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>/20</w:t>
      </w:r>
      <w:r w:rsidR="00F27627">
        <w:rPr>
          <w:rFonts w:ascii="Arial" w:hAnsi="Arial" w:cs="Arial"/>
          <w:b/>
          <w:sz w:val="32"/>
          <w:szCs w:val="32"/>
        </w:rPr>
        <w:t>20</w:t>
      </w:r>
    </w:p>
    <w:p w:rsidR="001C0C6A" w:rsidRDefault="001C0C6A" w:rsidP="001B3529">
      <w:pPr>
        <w:jc w:val="center"/>
        <w:rPr>
          <w:rFonts w:ascii="Arial" w:hAnsi="Arial" w:cs="Arial"/>
          <w:b/>
          <w:sz w:val="32"/>
          <w:szCs w:val="32"/>
        </w:rPr>
      </w:pPr>
    </w:p>
    <w:p w:rsidR="001C0C6A" w:rsidRPr="00410828" w:rsidRDefault="001C0C6A" w:rsidP="004C6680">
      <w:pPr>
        <w:jc w:val="center"/>
        <w:rPr>
          <w:rFonts w:ascii="Arial" w:hAnsi="Arial" w:cs="Arial"/>
          <w:b/>
          <w:sz w:val="36"/>
          <w:szCs w:val="36"/>
        </w:rPr>
      </w:pPr>
      <w:r w:rsidRPr="00410828">
        <w:rPr>
          <w:rFonts w:ascii="Arial" w:hAnsi="Arial" w:cs="Arial"/>
          <w:b/>
          <w:sz w:val="36"/>
          <w:szCs w:val="36"/>
        </w:rPr>
        <w:t>Pupil D</w:t>
      </w:r>
      <w:r w:rsidR="00204712">
        <w:rPr>
          <w:rFonts w:ascii="Arial" w:hAnsi="Arial" w:cs="Arial"/>
          <w:b/>
          <w:sz w:val="36"/>
          <w:szCs w:val="36"/>
        </w:rPr>
        <w:t>evelopment</w:t>
      </w:r>
      <w:r w:rsidRPr="00410828">
        <w:rPr>
          <w:rFonts w:ascii="Arial" w:hAnsi="Arial" w:cs="Arial"/>
          <w:b/>
          <w:sz w:val="36"/>
          <w:szCs w:val="36"/>
        </w:rPr>
        <w:t xml:space="preserve"> Grant (PDG)</w:t>
      </w:r>
      <w:r>
        <w:rPr>
          <w:rFonts w:ascii="Arial" w:hAnsi="Arial" w:cs="Arial"/>
          <w:b/>
          <w:sz w:val="36"/>
          <w:szCs w:val="36"/>
        </w:rPr>
        <w:t xml:space="preserve"> Annual Spend Plan</w:t>
      </w:r>
    </w:p>
    <w:p w:rsidR="001C0C6A" w:rsidRPr="00FD6457" w:rsidRDefault="001C0C6A" w:rsidP="00FD645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10828">
        <w:rPr>
          <w:rFonts w:ascii="Arial" w:hAnsi="Arial" w:cs="Arial"/>
          <w:b/>
          <w:bCs/>
          <w:sz w:val="36"/>
          <w:szCs w:val="36"/>
        </w:rPr>
        <w:t xml:space="preserve">Grant </w:t>
      </w:r>
      <w:proofErr w:type="spellStart"/>
      <w:r w:rsidRPr="00410828">
        <w:rPr>
          <w:rFonts w:ascii="Arial" w:hAnsi="Arial" w:cs="Arial"/>
          <w:b/>
          <w:bCs/>
          <w:sz w:val="36"/>
          <w:szCs w:val="36"/>
        </w:rPr>
        <w:t>Amddifadedd</w:t>
      </w:r>
      <w:proofErr w:type="spellEnd"/>
      <w:r w:rsidRPr="00410828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410828">
        <w:rPr>
          <w:rFonts w:ascii="Arial" w:hAnsi="Arial" w:cs="Arial"/>
          <w:b/>
          <w:bCs/>
          <w:sz w:val="36"/>
          <w:szCs w:val="36"/>
        </w:rPr>
        <w:t>Disgyblion</w:t>
      </w:r>
      <w:proofErr w:type="spellEnd"/>
      <w:r w:rsidRPr="00410828">
        <w:rPr>
          <w:rFonts w:ascii="Arial" w:hAnsi="Arial" w:cs="Arial"/>
          <w:b/>
          <w:bCs/>
          <w:sz w:val="36"/>
          <w:szCs w:val="36"/>
        </w:rPr>
        <w:t xml:space="preserve"> (GAD)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Cynllun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Gwariant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Blynyddol</w:t>
      </w:r>
      <w:proofErr w:type="spellEnd"/>
    </w:p>
    <w:p w:rsidR="001C0C6A" w:rsidRDefault="001C0C6A" w:rsidP="001B352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1C0C6A" w:rsidRPr="00226ACF" w:rsidRDefault="00FD6457" w:rsidP="00226AC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44"/>
          <w:szCs w:val="44"/>
        </w:rPr>
        <w:t xml:space="preserve">Cwm </w:t>
      </w:r>
      <w:proofErr w:type="spellStart"/>
      <w:r>
        <w:rPr>
          <w:rFonts w:ascii="Arial" w:hAnsi="Arial" w:cs="Arial"/>
          <w:b/>
          <w:sz w:val="44"/>
          <w:szCs w:val="44"/>
        </w:rPr>
        <w:t>Glas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Primary School</w:t>
      </w:r>
    </w:p>
    <w:p w:rsidR="001C0C6A" w:rsidRDefault="001C0C6A" w:rsidP="007372B0">
      <w:pPr>
        <w:jc w:val="center"/>
        <w:rPr>
          <w:rFonts w:ascii="Arial" w:hAnsi="Arial" w:cs="Arial"/>
          <w:b/>
          <w:sz w:val="32"/>
          <w:szCs w:val="32"/>
        </w:rPr>
      </w:pPr>
    </w:p>
    <w:p w:rsidR="001C0C6A" w:rsidRDefault="00FD6457" w:rsidP="007372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819150" cy="982980"/>
            <wp:effectExtent l="0" t="0" r="0" b="7620"/>
            <wp:docPr id="2" name="Picture 2" descr="Image result for cwm gla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wm glas primary schoo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C6A" w:rsidRDefault="00FD6457" w:rsidP="007372B0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Headteacher</w:t>
      </w:r>
      <w:proofErr w:type="spellEnd"/>
      <w:r>
        <w:rPr>
          <w:rFonts w:ascii="Arial" w:hAnsi="Arial" w:cs="Arial"/>
          <w:b/>
          <w:sz w:val="32"/>
          <w:szCs w:val="32"/>
        </w:rPr>
        <w:t>: Mr. Neil Craven-</w:t>
      </w:r>
      <w:proofErr w:type="spellStart"/>
      <w:r>
        <w:rPr>
          <w:rFonts w:ascii="Arial" w:hAnsi="Arial" w:cs="Arial"/>
          <w:b/>
          <w:sz w:val="32"/>
          <w:szCs w:val="32"/>
        </w:rPr>
        <w:t>Lashley</w:t>
      </w:r>
      <w:proofErr w:type="spellEnd"/>
    </w:p>
    <w:p w:rsidR="00FD6457" w:rsidRDefault="00FD6457" w:rsidP="007372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Deputy </w:t>
      </w:r>
      <w:proofErr w:type="spellStart"/>
      <w:r>
        <w:rPr>
          <w:rFonts w:ascii="Arial" w:hAnsi="Arial" w:cs="Arial"/>
          <w:b/>
          <w:sz w:val="32"/>
          <w:szCs w:val="32"/>
        </w:rPr>
        <w:t>Headteacher</w:t>
      </w:r>
      <w:proofErr w:type="spellEnd"/>
      <w:r>
        <w:rPr>
          <w:rFonts w:ascii="Arial" w:hAnsi="Arial" w:cs="Arial"/>
          <w:b/>
          <w:sz w:val="32"/>
          <w:szCs w:val="32"/>
        </w:rPr>
        <w:t>: Mrs. Rebecca Edwards</w:t>
      </w:r>
    </w:p>
    <w:p w:rsidR="001C0C6A" w:rsidRPr="00226ACF" w:rsidRDefault="001C0C6A" w:rsidP="00226ACF">
      <w:pPr>
        <w:rPr>
          <w:rFonts w:ascii="Arial" w:hAnsi="Arial" w:cs="Arial"/>
        </w:rPr>
      </w:pPr>
    </w:p>
    <w:p w:rsidR="00226ACF" w:rsidRPr="00226ACF" w:rsidRDefault="00226ACF" w:rsidP="00226ACF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226ACF">
        <w:rPr>
          <w:rFonts w:ascii="Arial" w:eastAsia="Calibri" w:hAnsi="Arial" w:cs="Arial"/>
          <w:lang w:eastAsia="en-US"/>
        </w:rPr>
        <w:t xml:space="preserve">At </w:t>
      </w:r>
      <w:r w:rsidR="00FD6457">
        <w:rPr>
          <w:rFonts w:ascii="Arial" w:eastAsia="Calibri" w:hAnsi="Arial" w:cs="Arial"/>
          <w:lang w:eastAsia="en-US"/>
        </w:rPr>
        <w:t xml:space="preserve">Cwm </w:t>
      </w:r>
      <w:proofErr w:type="spellStart"/>
      <w:r w:rsidR="00FD6457">
        <w:rPr>
          <w:rFonts w:ascii="Arial" w:eastAsia="Calibri" w:hAnsi="Arial" w:cs="Arial"/>
          <w:lang w:eastAsia="en-US"/>
        </w:rPr>
        <w:t>Glas</w:t>
      </w:r>
      <w:proofErr w:type="spellEnd"/>
      <w:r w:rsidR="00FD6457">
        <w:rPr>
          <w:rFonts w:ascii="Arial" w:eastAsia="Calibri" w:hAnsi="Arial" w:cs="Arial"/>
          <w:lang w:eastAsia="en-US"/>
        </w:rPr>
        <w:t xml:space="preserve"> Primary School</w:t>
      </w:r>
      <w:r>
        <w:rPr>
          <w:rFonts w:ascii="Arial" w:eastAsia="Calibri" w:hAnsi="Arial" w:cs="Arial"/>
          <w:lang w:eastAsia="en-US"/>
        </w:rPr>
        <w:t xml:space="preserve">, we </w:t>
      </w:r>
      <w:r w:rsidRPr="00226ACF">
        <w:rPr>
          <w:rFonts w:ascii="Arial" w:eastAsia="Calibri" w:hAnsi="Arial" w:cs="Arial"/>
          <w:lang w:eastAsia="en-US"/>
        </w:rPr>
        <w:t xml:space="preserve">use the Pupil </w:t>
      </w:r>
      <w:r w:rsidR="009D06CC">
        <w:rPr>
          <w:rFonts w:ascii="Arial" w:eastAsia="Calibri" w:hAnsi="Arial" w:cs="Arial"/>
          <w:lang w:eastAsia="en-US"/>
        </w:rPr>
        <w:t>Development</w:t>
      </w:r>
      <w:r w:rsidRPr="00226ACF">
        <w:rPr>
          <w:rFonts w:ascii="Arial" w:eastAsia="Calibri" w:hAnsi="Arial" w:cs="Arial"/>
          <w:lang w:eastAsia="en-US"/>
        </w:rPr>
        <w:t xml:space="preserve"> Grant in order to narrow the gap in both attainment and achievement for this targeted group. We fund a number of approaches aimed at developing self-esteem, practical skills and emotional resilience, as well as academic knowledge and skill. We track progress on a pupil-by-pupil basis and ensure that high quality teaching is in place day by day. Other interven</w:t>
      </w:r>
      <w:r w:rsidR="00F27627">
        <w:rPr>
          <w:rFonts w:ascii="Arial" w:eastAsia="Calibri" w:hAnsi="Arial" w:cs="Arial"/>
          <w:lang w:eastAsia="en-US"/>
        </w:rPr>
        <w:t xml:space="preserve">tions are targeted and specific, </w:t>
      </w:r>
      <w:r w:rsidRPr="00226ACF">
        <w:rPr>
          <w:rFonts w:ascii="Arial" w:eastAsia="Calibri" w:hAnsi="Arial" w:cs="Arial"/>
          <w:lang w:eastAsia="en-US"/>
        </w:rPr>
        <w:t>aimed at removing barriers to learning and enjoyment that social context and poverty can lead to.</w:t>
      </w:r>
    </w:p>
    <w:p w:rsidR="001C0C6A" w:rsidRDefault="001C0C6A" w:rsidP="00BA223F">
      <w:pPr>
        <w:rPr>
          <w:rFonts w:ascii="Arial" w:hAnsi="Arial" w:cs="Arial"/>
          <w:b/>
          <w:color w:val="FF0000"/>
        </w:rPr>
      </w:pPr>
    </w:p>
    <w:p w:rsidR="00A2106D" w:rsidRDefault="00A2106D" w:rsidP="00BA223F">
      <w:pPr>
        <w:rPr>
          <w:rFonts w:ascii="Arial" w:hAnsi="Arial" w:cs="Arial"/>
          <w:b/>
          <w:color w:val="FF0000"/>
        </w:rPr>
      </w:pPr>
    </w:p>
    <w:p w:rsidR="001C0C6A" w:rsidRPr="00226ACF" w:rsidRDefault="001C0C6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928"/>
        <w:gridCol w:w="4678"/>
      </w:tblGrid>
      <w:tr w:rsidR="001C0C6A" w:rsidTr="00226ACF">
        <w:trPr>
          <w:jc w:val="center"/>
        </w:trPr>
        <w:tc>
          <w:tcPr>
            <w:tcW w:w="4928" w:type="dxa"/>
          </w:tcPr>
          <w:p w:rsidR="001C0C6A" w:rsidRPr="001F3195" w:rsidRDefault="001C0C6A" w:rsidP="00D27111">
            <w:pPr>
              <w:spacing w:before="120" w:after="120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1F3195">
              <w:rPr>
                <w:rFonts w:ascii="Arial" w:hAnsi="Arial" w:cs="Arial"/>
                <w:b/>
                <w:color w:val="FF0000"/>
              </w:rPr>
              <w:t xml:space="preserve">Total PDG / </w:t>
            </w:r>
            <w:proofErr w:type="spellStart"/>
            <w:r w:rsidRPr="001F3195">
              <w:rPr>
                <w:rFonts w:ascii="Arial" w:hAnsi="Arial" w:cs="Arial"/>
                <w:b/>
                <w:color w:val="FF0000"/>
              </w:rPr>
              <w:t>Cyfanswm</w:t>
            </w:r>
            <w:proofErr w:type="spellEnd"/>
            <w:r w:rsidRPr="001F3195">
              <w:rPr>
                <w:rFonts w:ascii="Arial" w:hAnsi="Arial" w:cs="Arial"/>
                <w:b/>
                <w:color w:val="FF0000"/>
              </w:rPr>
              <w:t xml:space="preserve"> GAD</w:t>
            </w:r>
          </w:p>
        </w:tc>
        <w:tc>
          <w:tcPr>
            <w:tcW w:w="4678" w:type="dxa"/>
          </w:tcPr>
          <w:p w:rsidR="001C0C6A" w:rsidRPr="000052B1" w:rsidRDefault="004C2CE1" w:rsidP="000052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£93,975</w:t>
            </w:r>
          </w:p>
        </w:tc>
      </w:tr>
      <w:tr w:rsidR="00731E64" w:rsidTr="00226ACF">
        <w:trPr>
          <w:jc w:val="center"/>
        </w:trPr>
        <w:tc>
          <w:tcPr>
            <w:tcW w:w="4928" w:type="dxa"/>
          </w:tcPr>
          <w:p w:rsidR="00731E64" w:rsidRPr="001F3195" w:rsidRDefault="00731E64" w:rsidP="00D27111">
            <w:pPr>
              <w:spacing w:before="120" w:after="12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PDG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eFSM</w:t>
            </w:r>
            <w:proofErr w:type="spellEnd"/>
          </w:p>
        </w:tc>
        <w:tc>
          <w:tcPr>
            <w:tcW w:w="4678" w:type="dxa"/>
          </w:tcPr>
          <w:p w:rsidR="00731E64" w:rsidRPr="000052B1" w:rsidRDefault="004C2CE1" w:rsidP="000052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£76,475</w:t>
            </w:r>
          </w:p>
        </w:tc>
      </w:tr>
      <w:tr w:rsidR="00731E64" w:rsidTr="00226ACF">
        <w:trPr>
          <w:jc w:val="center"/>
        </w:trPr>
        <w:tc>
          <w:tcPr>
            <w:tcW w:w="4928" w:type="dxa"/>
          </w:tcPr>
          <w:p w:rsidR="00731E64" w:rsidRPr="001F3195" w:rsidRDefault="00731E64" w:rsidP="00D27111">
            <w:pPr>
              <w:spacing w:before="120" w:after="12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PDG early years</w:t>
            </w:r>
          </w:p>
        </w:tc>
        <w:tc>
          <w:tcPr>
            <w:tcW w:w="4678" w:type="dxa"/>
          </w:tcPr>
          <w:p w:rsidR="00731E64" w:rsidRPr="000052B1" w:rsidRDefault="000052B1" w:rsidP="000052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£17,500</w:t>
            </w:r>
          </w:p>
        </w:tc>
      </w:tr>
      <w:tr w:rsidR="00731E64" w:rsidTr="00226ACF">
        <w:trPr>
          <w:jc w:val="center"/>
        </w:trPr>
        <w:tc>
          <w:tcPr>
            <w:tcW w:w="4928" w:type="dxa"/>
          </w:tcPr>
          <w:p w:rsidR="00731E64" w:rsidRDefault="00731E64" w:rsidP="00D27111">
            <w:pPr>
              <w:spacing w:before="120" w:after="12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PDG LAC (if applicable)</w:t>
            </w:r>
          </w:p>
        </w:tc>
        <w:tc>
          <w:tcPr>
            <w:tcW w:w="4678" w:type="dxa"/>
          </w:tcPr>
          <w:p w:rsidR="00731E64" w:rsidRPr="001F3195" w:rsidRDefault="004C2CE1">
            <w:pPr>
              <w:spacing w:before="120" w:after="12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£4,975.33</w:t>
            </w:r>
          </w:p>
        </w:tc>
      </w:tr>
    </w:tbl>
    <w:p w:rsidR="001C0C6A" w:rsidRDefault="001C0C6A" w:rsidP="0085218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1C0C6A" w:rsidRDefault="001C0C6A">
      <w:pPr>
        <w:rPr>
          <w:rFonts w:ascii="Arial" w:hAnsi="Arial" w:cs="Arial"/>
          <w:b/>
          <w:bCs/>
        </w:rPr>
      </w:pPr>
      <w:r w:rsidRPr="00152919">
        <w:rPr>
          <w:rFonts w:ascii="Arial" w:hAnsi="Arial" w:cs="Arial"/>
        </w:rPr>
        <w:lastRenderedPageBreak/>
        <w:t xml:space="preserve">NB: </w:t>
      </w:r>
      <w:r w:rsidR="00F42029">
        <w:rPr>
          <w:rFonts w:ascii="Arial" w:hAnsi="Arial" w:cs="Arial"/>
          <w:bCs/>
        </w:rPr>
        <w:t>For 2015-16</w:t>
      </w:r>
      <w:r w:rsidRPr="00152919">
        <w:rPr>
          <w:rFonts w:ascii="Arial" w:hAnsi="Arial" w:cs="Arial"/>
          <w:bCs/>
        </w:rPr>
        <w:t xml:space="preserve">, we expect consortia to be clearly utilising assessment data to target inputs to activity and to be able to track resulting outputs against outcomes. </w:t>
      </w:r>
      <w:r w:rsidRPr="00152919">
        <w:rPr>
          <w:rFonts w:ascii="Arial" w:hAnsi="Arial" w:cs="Arial"/>
          <w:b/>
          <w:bCs/>
        </w:rPr>
        <w:t xml:space="preserve">All consortia will be required to measure impact against </w:t>
      </w:r>
      <w:r w:rsidRPr="00152919">
        <w:rPr>
          <w:rFonts w:ascii="Arial" w:hAnsi="Arial" w:cs="Arial"/>
          <w:b/>
          <w:bCs/>
          <w:u w:val="single"/>
        </w:rPr>
        <w:t>outcomes</w:t>
      </w:r>
      <w:r w:rsidR="00557C4C">
        <w:rPr>
          <w:rFonts w:ascii="Arial" w:hAnsi="Arial" w:cs="Arial"/>
          <w:b/>
          <w:bCs/>
        </w:rPr>
        <w:t xml:space="preserve"> in their reports for the 2017-18</w:t>
      </w:r>
      <w:r w:rsidR="00E14710">
        <w:rPr>
          <w:rFonts w:ascii="Arial" w:hAnsi="Arial" w:cs="Arial"/>
          <w:b/>
          <w:bCs/>
        </w:rPr>
        <w:t xml:space="preserve"> year of EIG</w:t>
      </w:r>
      <w:r w:rsidRPr="00152919">
        <w:rPr>
          <w:rFonts w:ascii="Arial" w:hAnsi="Arial" w:cs="Arial"/>
          <w:b/>
          <w:bCs/>
        </w:rPr>
        <w:t xml:space="preserve"> and PDG funding.</w:t>
      </w:r>
    </w:p>
    <w:p w:rsidR="00226ACF" w:rsidRDefault="00226ACF">
      <w:pPr>
        <w:rPr>
          <w:rFonts w:ascii="Arial" w:hAnsi="Arial" w:cs="Arial"/>
          <w:b/>
          <w:bCs/>
        </w:rPr>
      </w:pPr>
    </w:p>
    <w:p w:rsidR="00226ACF" w:rsidRPr="00BA223F" w:rsidRDefault="00226ACF" w:rsidP="00E14710">
      <w:pPr>
        <w:jc w:val="center"/>
        <w:rPr>
          <w:rFonts w:ascii="Arial" w:hAnsi="Arial" w:cs="Arial"/>
          <w:sz w:val="20"/>
          <w:szCs w:val="20"/>
        </w:rPr>
      </w:pPr>
      <w:r w:rsidRPr="00BA223F">
        <w:rPr>
          <w:rFonts w:ascii="Arial" w:hAnsi="Arial" w:cs="Arial"/>
          <w:sz w:val="20"/>
          <w:szCs w:val="20"/>
        </w:rPr>
        <w:t xml:space="preserve">Continuum Key: </w:t>
      </w:r>
      <w:r w:rsidRPr="00BA223F">
        <w:rPr>
          <w:rFonts w:ascii="Arial" w:hAnsi="Arial" w:cs="Arial"/>
          <w:sz w:val="20"/>
          <w:szCs w:val="20"/>
        </w:rPr>
        <w:tab/>
        <w:t>C – Collaborative</w:t>
      </w:r>
      <w:r w:rsidRPr="00BA223F">
        <w:rPr>
          <w:rFonts w:ascii="Arial" w:hAnsi="Arial" w:cs="Arial"/>
          <w:sz w:val="20"/>
          <w:szCs w:val="20"/>
        </w:rPr>
        <w:tab/>
        <w:t>D- Developmental</w:t>
      </w:r>
      <w:r w:rsidRPr="00BA223F">
        <w:rPr>
          <w:rFonts w:ascii="Arial" w:hAnsi="Arial" w:cs="Arial"/>
          <w:sz w:val="20"/>
          <w:szCs w:val="20"/>
        </w:rPr>
        <w:tab/>
        <w:t>E – Evaluative</w:t>
      </w:r>
      <w:r w:rsidRPr="00BA22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223F">
        <w:rPr>
          <w:rFonts w:ascii="Arial" w:hAnsi="Arial" w:cs="Arial"/>
          <w:sz w:val="20"/>
          <w:szCs w:val="20"/>
        </w:rPr>
        <w:t>ST – Strategic</w:t>
      </w:r>
      <w:r w:rsidRPr="00BA22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223F">
        <w:rPr>
          <w:rFonts w:ascii="Arial" w:hAnsi="Arial" w:cs="Arial"/>
          <w:sz w:val="20"/>
          <w:szCs w:val="20"/>
        </w:rPr>
        <w:t>SU - Sustainable</w:t>
      </w:r>
    </w:p>
    <w:p w:rsidR="00226ACF" w:rsidRPr="00152919" w:rsidRDefault="00226ACF">
      <w:pPr>
        <w:rPr>
          <w:rFonts w:ascii="Arial" w:hAnsi="Arial" w:cs="Arial"/>
          <w:b/>
          <w:bCs/>
        </w:rPr>
      </w:pPr>
    </w:p>
    <w:p w:rsidR="001C0C6A" w:rsidRDefault="001C0C6A"/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8"/>
        <w:gridCol w:w="720"/>
        <w:gridCol w:w="4680"/>
        <w:gridCol w:w="4440"/>
        <w:gridCol w:w="2042"/>
      </w:tblGrid>
      <w:tr w:rsidR="001C0C6A" w:rsidRPr="006C3360" w:rsidTr="00A448C6">
        <w:trPr>
          <w:cantSplit/>
          <w:trHeight w:val="528"/>
        </w:trPr>
        <w:tc>
          <w:tcPr>
            <w:tcW w:w="3588" w:type="dxa"/>
            <w:noWrap/>
            <w:vAlign w:val="center"/>
          </w:tcPr>
          <w:p w:rsidR="001C0C6A" w:rsidRPr="006C3360" w:rsidRDefault="001C0C6A" w:rsidP="00852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6C3360">
              <w:rPr>
                <w:rFonts w:ascii="Arial" w:hAnsi="Arial" w:cs="Arial"/>
                <w:b/>
                <w:bCs/>
                <w:sz w:val="18"/>
                <w:szCs w:val="18"/>
              </w:rPr>
              <w:t>Activity</w:t>
            </w:r>
            <w:r w:rsidRPr="006C3360">
              <w:rPr>
                <w:rFonts w:ascii="Arial" w:hAnsi="Arial" w:cs="Arial"/>
                <w:bCs/>
                <w:sz w:val="18"/>
                <w:szCs w:val="18"/>
              </w:rPr>
              <w:t xml:space="preserve"> – action required, for instance, recruitment of outstanding teachers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(WA)</w:t>
            </w:r>
            <w:r w:rsidRPr="006C336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1C0C6A" w:rsidRPr="006C3360" w:rsidRDefault="001C0C6A" w:rsidP="00FB4C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1C0C6A" w:rsidRPr="006C3360" w:rsidRDefault="001C0C6A" w:rsidP="00FB4C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1C0C6A" w:rsidRPr="006C3360" w:rsidRDefault="001C0C6A" w:rsidP="00852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6C3360">
              <w:rPr>
                <w:rFonts w:ascii="Arial" w:hAnsi="Arial" w:cs="Arial"/>
                <w:b/>
                <w:bCs/>
                <w:sz w:val="18"/>
                <w:szCs w:val="18"/>
              </w:rPr>
              <w:t>Outputs</w:t>
            </w:r>
            <w:r w:rsidRPr="006C3360">
              <w:rPr>
                <w:rFonts w:ascii="Arial" w:hAnsi="Arial" w:cs="Arial"/>
                <w:bCs/>
                <w:sz w:val="18"/>
                <w:szCs w:val="18"/>
              </w:rPr>
              <w:t xml:space="preserve"> – evidence that activities have occurred, for instance the number of teachers that have received catch up training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(WA)</w:t>
            </w:r>
          </w:p>
        </w:tc>
        <w:tc>
          <w:tcPr>
            <w:tcW w:w="4440" w:type="dxa"/>
            <w:vAlign w:val="center"/>
          </w:tcPr>
          <w:p w:rsidR="001C0C6A" w:rsidRPr="006C3360" w:rsidRDefault="001C0C6A" w:rsidP="008521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6C3360">
              <w:rPr>
                <w:rFonts w:ascii="Arial" w:hAnsi="Arial" w:cs="Arial"/>
                <w:b/>
                <w:bCs/>
                <w:sz w:val="18"/>
                <w:szCs w:val="18"/>
              </w:rPr>
              <w:t>Outcomes</w:t>
            </w:r>
            <w:r w:rsidRPr="006C3360">
              <w:rPr>
                <w:rFonts w:ascii="Arial" w:hAnsi="Arial" w:cs="Arial"/>
                <w:bCs/>
                <w:sz w:val="18"/>
                <w:szCs w:val="18"/>
              </w:rPr>
              <w:t xml:space="preserve"> –</w:t>
            </w:r>
            <w:r w:rsidRPr="006C33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C3360">
              <w:rPr>
                <w:rFonts w:ascii="Arial" w:hAnsi="Arial" w:cs="Arial"/>
                <w:bCs/>
                <w:sz w:val="18"/>
                <w:szCs w:val="18"/>
              </w:rPr>
              <w:t>the difference / impact made, for instance improvement in numeracy levels.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(WA)</w:t>
            </w:r>
          </w:p>
          <w:p w:rsidR="001C0C6A" w:rsidRPr="006C3360" w:rsidRDefault="001C0C6A" w:rsidP="00FB4C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:rsidR="001C0C6A" w:rsidRPr="006C3360" w:rsidRDefault="001C0C6A" w:rsidP="008521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6C33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Inputs </w:t>
            </w:r>
            <w:r w:rsidRPr="006C3360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6C33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C3360">
              <w:rPr>
                <w:rFonts w:ascii="Arial" w:hAnsi="Arial" w:cs="Arial"/>
                <w:bCs/>
                <w:sz w:val="18"/>
                <w:szCs w:val="18"/>
              </w:rPr>
              <w:t>res</w:t>
            </w:r>
            <w:r w:rsidR="00DD35B6">
              <w:rPr>
                <w:rFonts w:ascii="Arial" w:hAnsi="Arial" w:cs="Arial"/>
                <w:bCs/>
                <w:sz w:val="18"/>
                <w:szCs w:val="18"/>
              </w:rPr>
              <w:t>ources, in this case the</w:t>
            </w:r>
            <w:r w:rsidRPr="006C3360">
              <w:rPr>
                <w:rFonts w:ascii="Arial" w:hAnsi="Arial" w:cs="Arial"/>
                <w:bCs/>
                <w:sz w:val="18"/>
                <w:szCs w:val="18"/>
              </w:rPr>
              <w:t xml:space="preserve"> PDG funding and human resource required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(WA)</w:t>
            </w:r>
          </w:p>
          <w:p w:rsidR="001C0C6A" w:rsidRPr="006C3360" w:rsidRDefault="001C0C6A" w:rsidP="00FB4C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C6A" w:rsidRPr="004F0FA4" w:rsidTr="00A448C6">
        <w:trPr>
          <w:cantSplit/>
          <w:trHeight w:val="528"/>
        </w:trPr>
        <w:tc>
          <w:tcPr>
            <w:tcW w:w="3588" w:type="dxa"/>
            <w:noWrap/>
            <w:vAlign w:val="center"/>
          </w:tcPr>
          <w:p w:rsidR="001C0C6A" w:rsidRPr="000B2D18" w:rsidRDefault="001C0C6A" w:rsidP="000B2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D18">
              <w:rPr>
                <w:rFonts w:ascii="Arial" w:hAnsi="Arial" w:cs="Arial"/>
                <w:b/>
                <w:sz w:val="20"/>
                <w:szCs w:val="20"/>
              </w:rPr>
              <w:t xml:space="preserve">Activity supported </w:t>
            </w:r>
          </w:p>
          <w:p w:rsidR="001C0C6A" w:rsidRPr="000B2D18" w:rsidRDefault="001C0C6A" w:rsidP="000B2D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B2D18">
              <w:rPr>
                <w:rFonts w:ascii="Arial" w:hAnsi="Arial" w:cs="Arial"/>
                <w:sz w:val="20"/>
                <w:szCs w:val="20"/>
              </w:rPr>
              <w:t xml:space="preserve">i.e.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collaborative, evaluative and</w:t>
            </w:r>
          </w:p>
          <w:p w:rsidR="001C0C6A" w:rsidRPr="000B2D18" w:rsidRDefault="001C0C6A" w:rsidP="000B2D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D18">
              <w:rPr>
                <w:rFonts w:ascii="Arial" w:hAnsi="Arial" w:cs="Arial"/>
                <w:sz w:val="20"/>
                <w:szCs w:val="20"/>
                <w:lang w:eastAsia="en-GB"/>
              </w:rPr>
              <w:t>developmental</w:t>
            </w:r>
          </w:p>
          <w:p w:rsidR="001C0C6A" w:rsidRPr="006C3360" w:rsidRDefault="001C0C6A" w:rsidP="000B2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D18">
              <w:rPr>
                <w:rFonts w:ascii="Arial" w:hAnsi="Arial" w:cs="Arial"/>
                <w:sz w:val="20"/>
                <w:szCs w:val="20"/>
              </w:rPr>
              <w:t>( This will form the basis of the Cluster Financial Spend Plan )</w:t>
            </w:r>
          </w:p>
        </w:tc>
        <w:tc>
          <w:tcPr>
            <w:tcW w:w="720" w:type="dxa"/>
            <w:vAlign w:val="center"/>
          </w:tcPr>
          <w:p w:rsidR="001C0C6A" w:rsidRPr="006C3360" w:rsidRDefault="001C0C6A" w:rsidP="00FB4C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360">
              <w:rPr>
                <w:rFonts w:ascii="Arial" w:hAnsi="Arial" w:cs="Arial"/>
                <w:b/>
                <w:sz w:val="20"/>
                <w:szCs w:val="20"/>
              </w:rPr>
              <w:t>Key</w:t>
            </w:r>
          </w:p>
        </w:tc>
        <w:tc>
          <w:tcPr>
            <w:tcW w:w="4680" w:type="dxa"/>
            <w:vAlign w:val="center"/>
          </w:tcPr>
          <w:p w:rsidR="001C0C6A" w:rsidRDefault="001C0C6A" w:rsidP="00852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360">
              <w:rPr>
                <w:rFonts w:ascii="Arial" w:hAnsi="Arial" w:cs="Arial"/>
                <w:b/>
                <w:sz w:val="20"/>
                <w:szCs w:val="20"/>
              </w:rPr>
              <w:t xml:space="preserve">Intended Outputs </w:t>
            </w:r>
          </w:p>
          <w:p w:rsidR="001C0C6A" w:rsidRPr="000B2D18" w:rsidRDefault="001C0C6A" w:rsidP="0085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D18">
              <w:rPr>
                <w:rFonts w:ascii="Arial" w:hAnsi="Arial" w:cs="Arial"/>
                <w:sz w:val="20"/>
                <w:szCs w:val="20"/>
              </w:rPr>
              <w:t>(evidence based)</w:t>
            </w:r>
          </w:p>
        </w:tc>
        <w:tc>
          <w:tcPr>
            <w:tcW w:w="4440" w:type="dxa"/>
            <w:vAlign w:val="center"/>
          </w:tcPr>
          <w:p w:rsidR="001C0C6A" w:rsidRDefault="001C0C6A" w:rsidP="00FB4C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360">
              <w:rPr>
                <w:rFonts w:ascii="Arial" w:hAnsi="Arial" w:cs="Arial"/>
                <w:b/>
                <w:sz w:val="20"/>
                <w:szCs w:val="20"/>
              </w:rPr>
              <w:t xml:space="preserve">Intended Outcomes </w:t>
            </w:r>
          </w:p>
          <w:p w:rsidR="001C0C6A" w:rsidRPr="000B2D18" w:rsidRDefault="001C0C6A" w:rsidP="00FB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D18">
              <w:rPr>
                <w:rFonts w:ascii="Arial" w:hAnsi="Arial" w:cs="Arial"/>
                <w:sz w:val="20"/>
                <w:szCs w:val="20"/>
              </w:rPr>
              <w:t xml:space="preserve">i.e. Provision </w:t>
            </w:r>
          </w:p>
        </w:tc>
        <w:tc>
          <w:tcPr>
            <w:tcW w:w="2042" w:type="dxa"/>
            <w:vAlign w:val="center"/>
          </w:tcPr>
          <w:p w:rsidR="001C0C6A" w:rsidRPr="00D954ED" w:rsidRDefault="001C0C6A" w:rsidP="006C3360">
            <w:pPr>
              <w:jc w:val="center"/>
              <w:rPr>
                <w:rFonts w:ascii="Arial" w:hAnsi="Arial" w:cs="Arial"/>
                <w:b/>
              </w:rPr>
            </w:pPr>
            <w:r w:rsidRPr="00D954ED">
              <w:rPr>
                <w:rFonts w:ascii="Arial" w:hAnsi="Arial" w:cs="Arial"/>
                <w:b/>
              </w:rPr>
              <w:t>Cost</w:t>
            </w:r>
          </w:p>
        </w:tc>
      </w:tr>
      <w:tr w:rsidR="001C0C6A" w:rsidRPr="004F0FA4" w:rsidTr="00A448C6">
        <w:trPr>
          <w:trHeight w:val="711"/>
        </w:trPr>
        <w:tc>
          <w:tcPr>
            <w:tcW w:w="3588" w:type="dxa"/>
            <w:vAlign w:val="center"/>
          </w:tcPr>
          <w:p w:rsidR="001C0C6A" w:rsidRPr="004E62EF" w:rsidRDefault="00AF64D1" w:rsidP="00034457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 support effective ratios, targeted at FSM learners, in our Breakfast Club Provision</w:t>
            </w:r>
          </w:p>
        </w:tc>
        <w:tc>
          <w:tcPr>
            <w:tcW w:w="720" w:type="dxa"/>
          </w:tcPr>
          <w:p w:rsidR="001C0C6A" w:rsidRDefault="00AF64D1" w:rsidP="00F456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</w:p>
          <w:p w:rsidR="00AF64D1" w:rsidRPr="004E62EF" w:rsidRDefault="00AF64D1" w:rsidP="00F456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</w:t>
            </w:r>
          </w:p>
        </w:tc>
        <w:tc>
          <w:tcPr>
            <w:tcW w:w="4680" w:type="dxa"/>
          </w:tcPr>
          <w:p w:rsidR="001C0C6A" w:rsidRPr="004E62EF" w:rsidRDefault="00AF64D1" w:rsidP="00AF64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Good attendance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and  punctuality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FSM learners by attending Breakfast Club. This contribution supports our heavily subscribed facility.</w:t>
            </w:r>
          </w:p>
        </w:tc>
        <w:tc>
          <w:tcPr>
            <w:tcW w:w="4440" w:type="dxa"/>
          </w:tcPr>
          <w:p w:rsidR="001C0C6A" w:rsidRPr="004E62EF" w:rsidRDefault="00AF64D1" w:rsidP="00F456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Increased attendance figures, more engaged and ready for learning, a settled start to the day</w:t>
            </w:r>
          </w:p>
        </w:tc>
        <w:tc>
          <w:tcPr>
            <w:tcW w:w="2042" w:type="dxa"/>
          </w:tcPr>
          <w:p w:rsidR="00697327" w:rsidRPr="00354558" w:rsidRDefault="00B237EE" w:rsidP="000E16D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54558">
              <w:rPr>
                <w:rFonts w:ascii="Arial" w:hAnsi="Arial" w:cs="Arial"/>
                <w:b/>
                <w:color w:val="000000"/>
              </w:rPr>
              <w:t>£4,937</w:t>
            </w:r>
          </w:p>
        </w:tc>
      </w:tr>
      <w:tr w:rsidR="00CA2F88" w:rsidRPr="004F0FA4" w:rsidTr="00A448C6">
        <w:trPr>
          <w:trHeight w:val="702"/>
        </w:trPr>
        <w:tc>
          <w:tcPr>
            <w:tcW w:w="3588" w:type="dxa"/>
            <w:vAlign w:val="center"/>
          </w:tcPr>
          <w:p w:rsidR="00CA2F88" w:rsidRPr="004E62EF" w:rsidRDefault="00F27627" w:rsidP="0077540E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 ensure equity of access for FSM learners to Music tuition</w:t>
            </w:r>
          </w:p>
        </w:tc>
        <w:tc>
          <w:tcPr>
            <w:tcW w:w="720" w:type="dxa"/>
          </w:tcPr>
          <w:p w:rsidR="00CA2F88" w:rsidRPr="004E62EF" w:rsidRDefault="007665A6" w:rsidP="00192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 D SU</w:t>
            </w:r>
          </w:p>
        </w:tc>
        <w:tc>
          <w:tcPr>
            <w:tcW w:w="4680" w:type="dxa"/>
          </w:tcPr>
          <w:p w:rsidR="00CA2F88" w:rsidRDefault="00CA2F88" w:rsidP="00192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2F88" w:rsidRPr="004E62EF" w:rsidRDefault="00B237EE" w:rsidP="00192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PDG pupils will have access to free music tuition (ukulele, guitar, </w:t>
            </w:r>
            <w:r w:rsidR="007665A6">
              <w:rPr>
                <w:rFonts w:ascii="Arial" w:hAnsi="Arial" w:cs="Arial"/>
                <w:color w:val="000000"/>
                <w:sz w:val="18"/>
                <w:szCs w:val="18"/>
              </w:rPr>
              <w:t>drums) weekly</w:t>
            </w:r>
          </w:p>
        </w:tc>
        <w:tc>
          <w:tcPr>
            <w:tcW w:w="4440" w:type="dxa"/>
          </w:tcPr>
          <w:p w:rsidR="00CA2F88" w:rsidRPr="00F32E77" w:rsidRDefault="007665A6" w:rsidP="00192A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PDG pupils will use their creative / expressive skills whilst realising new talents and building confidences. This will impact on attitude to learning and wellbeing</w:t>
            </w:r>
          </w:p>
        </w:tc>
        <w:tc>
          <w:tcPr>
            <w:tcW w:w="2042" w:type="dxa"/>
          </w:tcPr>
          <w:p w:rsidR="00DF0631" w:rsidRPr="00354558" w:rsidRDefault="00B237EE" w:rsidP="00B237EE">
            <w:pPr>
              <w:jc w:val="center"/>
              <w:rPr>
                <w:rFonts w:ascii="Arial" w:hAnsi="Arial" w:cs="Arial"/>
                <w:b/>
              </w:rPr>
            </w:pPr>
            <w:r w:rsidRPr="00354558">
              <w:rPr>
                <w:rFonts w:ascii="Arial" w:hAnsi="Arial" w:cs="Arial"/>
                <w:b/>
              </w:rPr>
              <w:t>£1,950</w:t>
            </w:r>
          </w:p>
        </w:tc>
      </w:tr>
      <w:tr w:rsidR="00DF0631" w:rsidRPr="004F0FA4" w:rsidTr="00A448C6">
        <w:trPr>
          <w:trHeight w:val="702"/>
        </w:trPr>
        <w:tc>
          <w:tcPr>
            <w:tcW w:w="3588" w:type="dxa"/>
            <w:vAlign w:val="center"/>
          </w:tcPr>
          <w:p w:rsidR="00DF0631" w:rsidRDefault="00575698" w:rsidP="00034457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 support effective ratios in KS2, ensuring that PDG pupils are inclusively supported by LSA</w:t>
            </w:r>
            <w:r w:rsidR="00D70B5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</w:t>
            </w:r>
            <w:r w:rsidR="00F276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who offer general and targeted intervention</w:t>
            </w:r>
          </w:p>
        </w:tc>
        <w:tc>
          <w:tcPr>
            <w:tcW w:w="720" w:type="dxa"/>
          </w:tcPr>
          <w:p w:rsidR="00FD76C7" w:rsidRDefault="00FD76C7" w:rsidP="00192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 </w:t>
            </w:r>
          </w:p>
          <w:p w:rsidR="00DF0631" w:rsidRDefault="00FD76C7" w:rsidP="00192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  <w:p w:rsidR="00FD76C7" w:rsidRDefault="00FD76C7" w:rsidP="00192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</w:p>
          <w:p w:rsidR="00FD76C7" w:rsidRPr="006E6C9F" w:rsidRDefault="00FD76C7" w:rsidP="00192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</w:t>
            </w:r>
          </w:p>
        </w:tc>
        <w:tc>
          <w:tcPr>
            <w:tcW w:w="4680" w:type="dxa"/>
          </w:tcPr>
          <w:p w:rsidR="00DF0631" w:rsidRDefault="00D70B54" w:rsidP="00192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PDG pupils </w:t>
            </w:r>
            <w:r w:rsidR="00491FA1">
              <w:rPr>
                <w:rFonts w:ascii="Arial" w:hAnsi="Arial" w:cs="Arial"/>
                <w:color w:val="000000"/>
                <w:sz w:val="18"/>
                <w:szCs w:val="18"/>
              </w:rPr>
              <w:t>will make good progress against targets set. The pupils’ progress will be carefully tracked and reported. LSAs will maintain intervention notes and report to the SLMT.</w:t>
            </w:r>
          </w:p>
        </w:tc>
        <w:tc>
          <w:tcPr>
            <w:tcW w:w="4440" w:type="dxa"/>
          </w:tcPr>
          <w:p w:rsidR="00DF0631" w:rsidRDefault="00FD76C7" w:rsidP="00192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Improved outcomes for PDG learners, tracked using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Improved SS in Nat Tests for PDG learners; More PDG learners above the ‘average’ band of SS; improved Growth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Mindset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confidence of PDG learners</w:t>
            </w:r>
            <w:r w:rsidR="00722A6D">
              <w:rPr>
                <w:rFonts w:ascii="Arial" w:hAnsi="Arial" w:cs="Arial"/>
                <w:color w:val="000000"/>
                <w:sz w:val="18"/>
                <w:szCs w:val="18"/>
              </w:rPr>
              <w:t>, targeted interventions and learning support</w:t>
            </w:r>
          </w:p>
        </w:tc>
        <w:tc>
          <w:tcPr>
            <w:tcW w:w="2042" w:type="dxa"/>
          </w:tcPr>
          <w:p w:rsidR="00DF0631" w:rsidRPr="005E2D15" w:rsidRDefault="005E2D15" w:rsidP="00CF76D1">
            <w:pPr>
              <w:jc w:val="right"/>
              <w:rPr>
                <w:rFonts w:ascii="Arial" w:hAnsi="Arial" w:cs="Arial"/>
                <w:b/>
              </w:rPr>
            </w:pPr>
            <w:r w:rsidRPr="005E2D15">
              <w:rPr>
                <w:rFonts w:ascii="Arial" w:hAnsi="Arial" w:cs="Arial"/>
                <w:b/>
              </w:rPr>
              <w:t>£</w:t>
            </w:r>
            <w:r w:rsidR="00354558">
              <w:rPr>
                <w:rFonts w:ascii="Arial" w:hAnsi="Arial" w:cs="Arial"/>
                <w:b/>
              </w:rPr>
              <w:t>80,186</w:t>
            </w:r>
            <w:r w:rsidR="000943CC">
              <w:rPr>
                <w:rFonts w:ascii="Arial" w:hAnsi="Arial" w:cs="Arial"/>
                <w:b/>
              </w:rPr>
              <w:t xml:space="preserve"> (incl. on costs)</w:t>
            </w:r>
          </w:p>
        </w:tc>
      </w:tr>
      <w:tr w:rsidR="00A526E1" w:rsidRPr="004F0FA4" w:rsidTr="00A448C6">
        <w:trPr>
          <w:trHeight w:val="702"/>
        </w:trPr>
        <w:tc>
          <w:tcPr>
            <w:tcW w:w="3588" w:type="dxa"/>
            <w:vAlign w:val="center"/>
          </w:tcPr>
          <w:p w:rsidR="00A526E1" w:rsidRDefault="00F27627" w:rsidP="00034457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 facilitate</w:t>
            </w:r>
            <w:r w:rsidR="00A526E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Pastoral, Behaviour, Nu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rture &amp; Family Support</w:t>
            </w:r>
          </w:p>
        </w:tc>
        <w:tc>
          <w:tcPr>
            <w:tcW w:w="720" w:type="dxa"/>
          </w:tcPr>
          <w:p w:rsidR="00A526E1" w:rsidRDefault="00A526E1" w:rsidP="00192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 ST SU</w:t>
            </w:r>
          </w:p>
        </w:tc>
        <w:tc>
          <w:tcPr>
            <w:tcW w:w="4680" w:type="dxa"/>
          </w:tcPr>
          <w:p w:rsidR="00A526E1" w:rsidRDefault="0077540E" w:rsidP="00192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Attendance of parents to TAF sessions, </w:t>
            </w:r>
            <w:r w:rsidR="00743F64">
              <w:rPr>
                <w:rFonts w:ascii="Arial" w:hAnsi="Arial" w:cs="Arial"/>
                <w:color w:val="000000"/>
                <w:sz w:val="18"/>
                <w:szCs w:val="18"/>
              </w:rPr>
              <w:t>use of Boxall assessments to measure progress of Nurture pupils, pastoral support for learners</w:t>
            </w:r>
            <w:r w:rsidR="00354558">
              <w:rPr>
                <w:rFonts w:ascii="Arial" w:hAnsi="Arial" w:cs="Arial"/>
                <w:color w:val="000000"/>
                <w:sz w:val="18"/>
                <w:szCs w:val="18"/>
              </w:rPr>
              <w:t>, Resilience Framework Training</w:t>
            </w:r>
          </w:p>
        </w:tc>
        <w:tc>
          <w:tcPr>
            <w:tcW w:w="4440" w:type="dxa"/>
          </w:tcPr>
          <w:p w:rsidR="00A526E1" w:rsidRDefault="0077540E" w:rsidP="00192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 identified link staff-member for TAF in Schools, provision of x6 sessions of Nurture each week, on-going link to PCSOs, behaviour support assistant on-site</w:t>
            </w:r>
            <w:r w:rsidR="00743F64">
              <w:rPr>
                <w:rFonts w:ascii="Arial" w:hAnsi="Arial" w:cs="Arial"/>
                <w:color w:val="000000"/>
                <w:sz w:val="18"/>
                <w:szCs w:val="18"/>
              </w:rPr>
              <w:t xml:space="preserve">, link to Exchange Counselling service </w:t>
            </w:r>
          </w:p>
        </w:tc>
        <w:tc>
          <w:tcPr>
            <w:tcW w:w="2042" w:type="dxa"/>
          </w:tcPr>
          <w:p w:rsidR="00AD30F4" w:rsidRDefault="007665A6" w:rsidP="00192A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£8,929</w:t>
            </w:r>
            <w:r w:rsidR="00AD30F4">
              <w:rPr>
                <w:rFonts w:ascii="Arial" w:hAnsi="Arial" w:cs="Arial"/>
                <w:b/>
              </w:rPr>
              <w:t>(TR)</w:t>
            </w:r>
          </w:p>
          <w:p w:rsidR="00F356B8" w:rsidRPr="005E2D15" w:rsidRDefault="00F356B8" w:rsidP="00192A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£700 (resources)</w:t>
            </w:r>
          </w:p>
        </w:tc>
      </w:tr>
      <w:tr w:rsidR="00354558" w:rsidRPr="004F0FA4" w:rsidTr="00A448C6">
        <w:trPr>
          <w:trHeight w:val="702"/>
        </w:trPr>
        <w:tc>
          <w:tcPr>
            <w:tcW w:w="3588" w:type="dxa"/>
            <w:vAlign w:val="center"/>
          </w:tcPr>
          <w:p w:rsidR="00354558" w:rsidRDefault="00354558" w:rsidP="00034457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All school staff to be Trauma / ACEs informed trained </w:t>
            </w:r>
          </w:p>
        </w:tc>
        <w:tc>
          <w:tcPr>
            <w:tcW w:w="720" w:type="dxa"/>
          </w:tcPr>
          <w:p w:rsidR="00354558" w:rsidRDefault="00354558" w:rsidP="00192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 D E ST SU</w:t>
            </w:r>
          </w:p>
        </w:tc>
        <w:tc>
          <w:tcPr>
            <w:tcW w:w="4680" w:type="dxa"/>
          </w:tcPr>
          <w:p w:rsidR="00354558" w:rsidRDefault="00354558" w:rsidP="00192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All teachers and LSAs to attend Trauma &amp; ACEs Informed Training event (INSET Day) with Coral Harper and Cluster Colleagues </w:t>
            </w:r>
          </w:p>
        </w:tc>
        <w:tc>
          <w:tcPr>
            <w:tcW w:w="4440" w:type="dxa"/>
          </w:tcPr>
          <w:p w:rsidR="00354558" w:rsidRDefault="00354558" w:rsidP="00192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PDG learners, who are at higher risk of Trauma / ACEs, will be supported by an inclusive and well informed staff team </w:t>
            </w:r>
          </w:p>
        </w:tc>
        <w:tc>
          <w:tcPr>
            <w:tcW w:w="2042" w:type="dxa"/>
          </w:tcPr>
          <w:p w:rsidR="00F356B8" w:rsidRDefault="00F356B8" w:rsidP="00192A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£350</w:t>
            </w:r>
          </w:p>
          <w:p w:rsidR="00354558" w:rsidRDefault="00F356B8" w:rsidP="00F356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£923 </w:t>
            </w:r>
            <w:r w:rsidRPr="00F356B8">
              <w:rPr>
                <w:rFonts w:ascii="Arial" w:hAnsi="Arial" w:cs="Arial"/>
                <w:b/>
                <w:i/>
                <w:sz w:val="20"/>
              </w:rPr>
              <w:t>(towards Trauma Diploma</w:t>
            </w:r>
            <w:r>
              <w:rPr>
                <w:rFonts w:ascii="Arial" w:hAnsi="Arial" w:cs="Arial"/>
                <w:b/>
                <w:i/>
                <w:sz w:val="20"/>
              </w:rPr>
              <w:t>)</w:t>
            </w:r>
            <w:bookmarkStart w:id="0" w:name="_GoBack"/>
            <w:bookmarkEnd w:id="0"/>
            <w:r w:rsidR="00354558" w:rsidRPr="00F356B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1C0C6A" w:rsidRDefault="001C0C6A" w:rsidP="00025D7D">
      <w:pPr>
        <w:tabs>
          <w:tab w:val="left" w:pos="3588"/>
          <w:tab w:val="left" w:pos="4308"/>
          <w:tab w:val="left" w:pos="8988"/>
          <w:tab w:val="left" w:pos="13428"/>
        </w:tabs>
        <w:rPr>
          <w:rFonts w:ascii="Arial" w:hAnsi="Arial" w:cs="Arial"/>
          <w:color w:val="000000"/>
          <w:sz w:val="18"/>
          <w:szCs w:val="18"/>
          <w:lang w:eastAsia="en-GB"/>
        </w:rPr>
      </w:pPr>
    </w:p>
    <w:tbl>
      <w:tblPr>
        <w:tblpPr w:leftFromText="180" w:rightFromText="180" w:vertAnchor="text" w:horzAnchor="margin" w:tblpY="-47"/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28"/>
        <w:gridCol w:w="2042"/>
      </w:tblGrid>
      <w:tr w:rsidR="000E16D3" w:rsidRPr="004F0FA4" w:rsidTr="000E16D3">
        <w:trPr>
          <w:trHeight w:val="352"/>
        </w:trPr>
        <w:tc>
          <w:tcPr>
            <w:tcW w:w="13428" w:type="dxa"/>
            <w:noWrap/>
            <w:vAlign w:val="center"/>
          </w:tcPr>
          <w:p w:rsidR="000E16D3" w:rsidRPr="00152919" w:rsidRDefault="000E16D3" w:rsidP="000E16D3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proofErr w:type="spellStart"/>
            <w:r w:rsidRPr="00152919">
              <w:rPr>
                <w:rFonts w:ascii="Arial" w:hAnsi="Arial" w:cs="Arial"/>
                <w:b/>
                <w:color w:val="000000"/>
                <w:lang w:eastAsia="en-GB"/>
              </w:rPr>
              <w:t>Cyfansymiau</w:t>
            </w:r>
            <w:proofErr w:type="spellEnd"/>
            <w:r w:rsidRPr="00152919">
              <w:rPr>
                <w:rFonts w:ascii="Arial" w:hAnsi="Arial" w:cs="Arial"/>
                <w:b/>
                <w:color w:val="000000"/>
                <w:lang w:eastAsia="en-GB"/>
              </w:rPr>
              <w:t xml:space="preserve"> / Total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 xml:space="preserve"> Cost</w:t>
            </w:r>
            <w:r w:rsidRPr="00152919">
              <w:rPr>
                <w:rFonts w:ascii="Arial" w:hAnsi="Arial" w:cs="Arial"/>
                <w:b/>
                <w:color w:val="000000"/>
                <w:lang w:eastAsia="en-GB"/>
              </w:rPr>
              <w:t xml:space="preserve"> </w:t>
            </w:r>
          </w:p>
          <w:p w:rsidR="000E16D3" w:rsidRPr="00152919" w:rsidRDefault="000E16D3" w:rsidP="000E16D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42" w:type="dxa"/>
          </w:tcPr>
          <w:p w:rsidR="000E16D3" w:rsidRPr="00152919" w:rsidRDefault="007665A6" w:rsidP="00672E5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£97,975</w:t>
            </w:r>
          </w:p>
        </w:tc>
      </w:tr>
    </w:tbl>
    <w:p w:rsidR="001C0C6A" w:rsidRDefault="001C0C6A" w:rsidP="000E16D3">
      <w:pPr>
        <w:tabs>
          <w:tab w:val="left" w:pos="3588"/>
          <w:tab w:val="left" w:pos="4308"/>
          <w:tab w:val="left" w:pos="8988"/>
          <w:tab w:val="left" w:pos="13428"/>
        </w:tabs>
        <w:jc w:val="right"/>
        <w:rPr>
          <w:rFonts w:ascii="Arial" w:hAnsi="Arial" w:cs="Arial"/>
          <w:b/>
          <w:i/>
          <w:color w:val="000000"/>
          <w:sz w:val="18"/>
          <w:szCs w:val="18"/>
          <w:lang w:eastAsia="en-GB"/>
        </w:rPr>
      </w:pPr>
    </w:p>
    <w:sectPr w:rsidR="001C0C6A" w:rsidSect="00152919">
      <w:headerReference w:type="default" r:id="rId13"/>
      <w:footerReference w:type="default" r:id="rId14"/>
      <w:pgSz w:w="16838" w:h="11906" w:orient="landscape"/>
      <w:pgMar w:top="238" w:right="539" w:bottom="567" w:left="709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56" w:rsidRDefault="00CE3C56" w:rsidP="008275D3">
      <w:r>
        <w:separator/>
      </w:r>
    </w:p>
  </w:endnote>
  <w:endnote w:type="continuationSeparator" w:id="0">
    <w:p w:rsidR="00CE3C56" w:rsidRDefault="00CE3C56" w:rsidP="0082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ty of Swansea Logo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6A" w:rsidRPr="00BA223F" w:rsidRDefault="001C0C6A" w:rsidP="00BA223F">
    <w:pPr>
      <w:pStyle w:val="Footer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56" w:rsidRDefault="00CE3C56" w:rsidP="008275D3">
      <w:r>
        <w:separator/>
      </w:r>
    </w:p>
  </w:footnote>
  <w:footnote w:type="continuationSeparator" w:id="0">
    <w:p w:rsidR="00CE3C56" w:rsidRDefault="00CE3C56" w:rsidP="00827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6A" w:rsidRPr="00BA223F" w:rsidRDefault="001C0C6A" w:rsidP="000336DE">
    <w:pPr>
      <w:pStyle w:val="Header"/>
      <w:jc w:val="right"/>
      <w:rPr>
        <w:rFonts w:ascii="City of Swansea Logo" w:hAnsi="City of Swansea Logo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905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3EE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02B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685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E0B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328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FA9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9A76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A0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1EF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F589C22"/>
    <w:lvl w:ilvl="0">
      <w:numFmt w:val="bullet"/>
      <w:pStyle w:val="BCSBulletparagraph"/>
      <w:lvlText w:val="*"/>
      <w:lvlJc w:val="left"/>
    </w:lvl>
  </w:abstractNum>
  <w:abstractNum w:abstractNumId="11">
    <w:nsid w:val="051B023A"/>
    <w:multiLevelType w:val="hybridMultilevel"/>
    <w:tmpl w:val="17B285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D75676"/>
    <w:multiLevelType w:val="hybridMultilevel"/>
    <w:tmpl w:val="5E5C4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466BC"/>
    <w:multiLevelType w:val="hybridMultilevel"/>
    <w:tmpl w:val="4844AD8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2CC19E1"/>
    <w:multiLevelType w:val="hybridMultilevel"/>
    <w:tmpl w:val="1F681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8930CC"/>
    <w:multiLevelType w:val="hybridMultilevel"/>
    <w:tmpl w:val="26EC7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F6408C"/>
    <w:multiLevelType w:val="hybridMultilevel"/>
    <w:tmpl w:val="12B4E3E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  <w:lvlOverride w:ilvl="0">
      <w:lvl w:ilvl="0">
        <w:start w:val="1"/>
        <w:numFmt w:val="bullet"/>
        <w:pStyle w:val="BCSBulletparagraph"/>
        <w:lvlText w:val=""/>
        <w:lvlJc w:val="left"/>
        <w:pPr>
          <w:tabs>
            <w:tab w:val="num" w:pos="1440"/>
          </w:tabs>
          <w:ind w:left="1440" w:hanging="720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6"/>
  </w:num>
  <w:num w:numId="5">
    <w:abstractNumId w:val="13"/>
  </w:num>
  <w:num w:numId="6">
    <w:abstractNumId w:val="10"/>
    <w:lvlOverride w:ilvl="0">
      <w:lvl w:ilvl="0">
        <w:numFmt w:val="bullet"/>
        <w:pStyle w:val="BCSBulletparagraph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F"/>
    <w:rsid w:val="00000CC3"/>
    <w:rsid w:val="00000FB7"/>
    <w:rsid w:val="00002783"/>
    <w:rsid w:val="00002D4E"/>
    <w:rsid w:val="00003A61"/>
    <w:rsid w:val="000052B1"/>
    <w:rsid w:val="000058FF"/>
    <w:rsid w:val="00006124"/>
    <w:rsid w:val="000061E4"/>
    <w:rsid w:val="0000704E"/>
    <w:rsid w:val="0000744F"/>
    <w:rsid w:val="00007DD4"/>
    <w:rsid w:val="00010810"/>
    <w:rsid w:val="00012F5E"/>
    <w:rsid w:val="00013B2A"/>
    <w:rsid w:val="00014D72"/>
    <w:rsid w:val="00015443"/>
    <w:rsid w:val="00016660"/>
    <w:rsid w:val="00016E18"/>
    <w:rsid w:val="0001724E"/>
    <w:rsid w:val="000245AC"/>
    <w:rsid w:val="00025D7D"/>
    <w:rsid w:val="000269BD"/>
    <w:rsid w:val="00026A43"/>
    <w:rsid w:val="00027366"/>
    <w:rsid w:val="0003264E"/>
    <w:rsid w:val="000336DE"/>
    <w:rsid w:val="00033A9F"/>
    <w:rsid w:val="00034457"/>
    <w:rsid w:val="0003467E"/>
    <w:rsid w:val="0003582B"/>
    <w:rsid w:val="000360B2"/>
    <w:rsid w:val="00040A32"/>
    <w:rsid w:val="00041A89"/>
    <w:rsid w:val="00051AA8"/>
    <w:rsid w:val="00053319"/>
    <w:rsid w:val="00054835"/>
    <w:rsid w:val="000548D1"/>
    <w:rsid w:val="00056C6E"/>
    <w:rsid w:val="000608AA"/>
    <w:rsid w:val="00060F06"/>
    <w:rsid w:val="000629B7"/>
    <w:rsid w:val="000639AC"/>
    <w:rsid w:val="00065EAA"/>
    <w:rsid w:val="00066E57"/>
    <w:rsid w:val="000706F3"/>
    <w:rsid w:val="000713B4"/>
    <w:rsid w:val="00072394"/>
    <w:rsid w:val="0007284A"/>
    <w:rsid w:val="00074DF4"/>
    <w:rsid w:val="00077B21"/>
    <w:rsid w:val="0008024F"/>
    <w:rsid w:val="00080B41"/>
    <w:rsid w:val="0008203A"/>
    <w:rsid w:val="0008658B"/>
    <w:rsid w:val="0008683E"/>
    <w:rsid w:val="00091459"/>
    <w:rsid w:val="0009192C"/>
    <w:rsid w:val="000930E8"/>
    <w:rsid w:val="000943CC"/>
    <w:rsid w:val="0009468F"/>
    <w:rsid w:val="00095117"/>
    <w:rsid w:val="0009613E"/>
    <w:rsid w:val="000966E9"/>
    <w:rsid w:val="00096D02"/>
    <w:rsid w:val="000A0593"/>
    <w:rsid w:val="000A137F"/>
    <w:rsid w:val="000A47D1"/>
    <w:rsid w:val="000A51B4"/>
    <w:rsid w:val="000A69E4"/>
    <w:rsid w:val="000A7941"/>
    <w:rsid w:val="000B1775"/>
    <w:rsid w:val="000B2D18"/>
    <w:rsid w:val="000B4CDE"/>
    <w:rsid w:val="000B5866"/>
    <w:rsid w:val="000B64F3"/>
    <w:rsid w:val="000B778D"/>
    <w:rsid w:val="000C1C96"/>
    <w:rsid w:val="000C25B8"/>
    <w:rsid w:val="000C44EB"/>
    <w:rsid w:val="000C65A7"/>
    <w:rsid w:val="000C65BD"/>
    <w:rsid w:val="000D056A"/>
    <w:rsid w:val="000D1B28"/>
    <w:rsid w:val="000D707D"/>
    <w:rsid w:val="000D7AC8"/>
    <w:rsid w:val="000D7D62"/>
    <w:rsid w:val="000E0396"/>
    <w:rsid w:val="000E0669"/>
    <w:rsid w:val="000E16D3"/>
    <w:rsid w:val="000E26FE"/>
    <w:rsid w:val="000E36C2"/>
    <w:rsid w:val="000E3B02"/>
    <w:rsid w:val="000E5D8B"/>
    <w:rsid w:val="000E655F"/>
    <w:rsid w:val="000E6F8C"/>
    <w:rsid w:val="000F29DF"/>
    <w:rsid w:val="000F2B21"/>
    <w:rsid w:val="000F379B"/>
    <w:rsid w:val="000F4F8E"/>
    <w:rsid w:val="000F54F1"/>
    <w:rsid w:val="000F7CB0"/>
    <w:rsid w:val="0010269F"/>
    <w:rsid w:val="00102846"/>
    <w:rsid w:val="001030B3"/>
    <w:rsid w:val="00103489"/>
    <w:rsid w:val="001034BB"/>
    <w:rsid w:val="001052DC"/>
    <w:rsid w:val="00105CFE"/>
    <w:rsid w:val="00105EAF"/>
    <w:rsid w:val="00110C92"/>
    <w:rsid w:val="0011293A"/>
    <w:rsid w:val="00113649"/>
    <w:rsid w:val="001137B4"/>
    <w:rsid w:val="00113A29"/>
    <w:rsid w:val="0011426E"/>
    <w:rsid w:val="0011487C"/>
    <w:rsid w:val="00114CBB"/>
    <w:rsid w:val="0011694C"/>
    <w:rsid w:val="00127404"/>
    <w:rsid w:val="0013189D"/>
    <w:rsid w:val="00136845"/>
    <w:rsid w:val="001377B5"/>
    <w:rsid w:val="00140829"/>
    <w:rsid w:val="00140F2E"/>
    <w:rsid w:val="001414D2"/>
    <w:rsid w:val="00143148"/>
    <w:rsid w:val="001432E6"/>
    <w:rsid w:val="00144011"/>
    <w:rsid w:val="00144F64"/>
    <w:rsid w:val="00146ED4"/>
    <w:rsid w:val="00147294"/>
    <w:rsid w:val="00151325"/>
    <w:rsid w:val="00151447"/>
    <w:rsid w:val="001514AE"/>
    <w:rsid w:val="00151541"/>
    <w:rsid w:val="001524DC"/>
    <w:rsid w:val="00152919"/>
    <w:rsid w:val="00152C07"/>
    <w:rsid w:val="0015365F"/>
    <w:rsid w:val="00153AD9"/>
    <w:rsid w:val="00155300"/>
    <w:rsid w:val="00163048"/>
    <w:rsid w:val="001637AD"/>
    <w:rsid w:val="001638E6"/>
    <w:rsid w:val="00165814"/>
    <w:rsid w:val="0016617E"/>
    <w:rsid w:val="00176214"/>
    <w:rsid w:val="001769DE"/>
    <w:rsid w:val="00180423"/>
    <w:rsid w:val="00180DC0"/>
    <w:rsid w:val="00180DC5"/>
    <w:rsid w:val="00181178"/>
    <w:rsid w:val="00181BE1"/>
    <w:rsid w:val="00182D18"/>
    <w:rsid w:val="00184149"/>
    <w:rsid w:val="00186ED1"/>
    <w:rsid w:val="001910D9"/>
    <w:rsid w:val="0019144C"/>
    <w:rsid w:val="0019297D"/>
    <w:rsid w:val="00193642"/>
    <w:rsid w:val="00193F4A"/>
    <w:rsid w:val="00193FC2"/>
    <w:rsid w:val="0019414A"/>
    <w:rsid w:val="00196C7F"/>
    <w:rsid w:val="001A03E6"/>
    <w:rsid w:val="001A0E50"/>
    <w:rsid w:val="001A2D38"/>
    <w:rsid w:val="001A3633"/>
    <w:rsid w:val="001A4B22"/>
    <w:rsid w:val="001A53E3"/>
    <w:rsid w:val="001A5AD5"/>
    <w:rsid w:val="001B12B7"/>
    <w:rsid w:val="001B2868"/>
    <w:rsid w:val="001B3529"/>
    <w:rsid w:val="001B3FA4"/>
    <w:rsid w:val="001B5274"/>
    <w:rsid w:val="001B67EF"/>
    <w:rsid w:val="001C0412"/>
    <w:rsid w:val="001C0C6A"/>
    <w:rsid w:val="001C1161"/>
    <w:rsid w:val="001C13BF"/>
    <w:rsid w:val="001C38DB"/>
    <w:rsid w:val="001C38DF"/>
    <w:rsid w:val="001C42A9"/>
    <w:rsid w:val="001C4BDF"/>
    <w:rsid w:val="001C5CBD"/>
    <w:rsid w:val="001C71F3"/>
    <w:rsid w:val="001D2741"/>
    <w:rsid w:val="001D2E1A"/>
    <w:rsid w:val="001D3A47"/>
    <w:rsid w:val="001D40AC"/>
    <w:rsid w:val="001D6C10"/>
    <w:rsid w:val="001E01AF"/>
    <w:rsid w:val="001E09C6"/>
    <w:rsid w:val="001E42C9"/>
    <w:rsid w:val="001E5453"/>
    <w:rsid w:val="001E5E3E"/>
    <w:rsid w:val="001E6843"/>
    <w:rsid w:val="001E7429"/>
    <w:rsid w:val="001F0F81"/>
    <w:rsid w:val="001F1E8E"/>
    <w:rsid w:val="001F2753"/>
    <w:rsid w:val="001F2E42"/>
    <w:rsid w:val="001F3195"/>
    <w:rsid w:val="001F399D"/>
    <w:rsid w:val="001F426F"/>
    <w:rsid w:val="001F5C97"/>
    <w:rsid w:val="00200513"/>
    <w:rsid w:val="00200F38"/>
    <w:rsid w:val="0020131D"/>
    <w:rsid w:val="00203B27"/>
    <w:rsid w:val="00204712"/>
    <w:rsid w:val="00206560"/>
    <w:rsid w:val="00207265"/>
    <w:rsid w:val="002074C2"/>
    <w:rsid w:val="00210570"/>
    <w:rsid w:val="00213AD4"/>
    <w:rsid w:val="00214854"/>
    <w:rsid w:val="0021587F"/>
    <w:rsid w:val="00216307"/>
    <w:rsid w:val="00221FA7"/>
    <w:rsid w:val="00222407"/>
    <w:rsid w:val="002249D3"/>
    <w:rsid w:val="00225EC4"/>
    <w:rsid w:val="00226ACF"/>
    <w:rsid w:val="002276F3"/>
    <w:rsid w:val="002306E9"/>
    <w:rsid w:val="00231027"/>
    <w:rsid w:val="002322A3"/>
    <w:rsid w:val="0023488A"/>
    <w:rsid w:val="00234C6C"/>
    <w:rsid w:val="00236575"/>
    <w:rsid w:val="00236C70"/>
    <w:rsid w:val="00236CCD"/>
    <w:rsid w:val="0024258E"/>
    <w:rsid w:val="002428BB"/>
    <w:rsid w:val="00242940"/>
    <w:rsid w:val="002431FF"/>
    <w:rsid w:val="00243634"/>
    <w:rsid w:val="00243BE5"/>
    <w:rsid w:val="002457E8"/>
    <w:rsid w:val="00247143"/>
    <w:rsid w:val="00247712"/>
    <w:rsid w:val="00247A4D"/>
    <w:rsid w:val="00247B2F"/>
    <w:rsid w:val="00250EE6"/>
    <w:rsid w:val="0025398E"/>
    <w:rsid w:val="00254866"/>
    <w:rsid w:val="00261611"/>
    <w:rsid w:val="002627BE"/>
    <w:rsid w:val="002630FF"/>
    <w:rsid w:val="00264089"/>
    <w:rsid w:val="00264479"/>
    <w:rsid w:val="00267D21"/>
    <w:rsid w:val="002702D8"/>
    <w:rsid w:val="002714CE"/>
    <w:rsid w:val="002732DD"/>
    <w:rsid w:val="002733C6"/>
    <w:rsid w:val="00282259"/>
    <w:rsid w:val="00283B8A"/>
    <w:rsid w:val="002847F7"/>
    <w:rsid w:val="00285A7F"/>
    <w:rsid w:val="0028640E"/>
    <w:rsid w:val="00290EAF"/>
    <w:rsid w:val="002915C0"/>
    <w:rsid w:val="00292847"/>
    <w:rsid w:val="00293B61"/>
    <w:rsid w:val="00294AAF"/>
    <w:rsid w:val="00295707"/>
    <w:rsid w:val="00295C4D"/>
    <w:rsid w:val="0029724F"/>
    <w:rsid w:val="002A1B36"/>
    <w:rsid w:val="002B00EE"/>
    <w:rsid w:val="002B1E5C"/>
    <w:rsid w:val="002B6BDD"/>
    <w:rsid w:val="002C02B2"/>
    <w:rsid w:val="002C2477"/>
    <w:rsid w:val="002C7319"/>
    <w:rsid w:val="002C7994"/>
    <w:rsid w:val="002D0E09"/>
    <w:rsid w:val="002D299A"/>
    <w:rsid w:val="002D59F1"/>
    <w:rsid w:val="002D5AA1"/>
    <w:rsid w:val="002D6074"/>
    <w:rsid w:val="002E02A6"/>
    <w:rsid w:val="002E02FB"/>
    <w:rsid w:val="002E17F4"/>
    <w:rsid w:val="002E3D02"/>
    <w:rsid w:val="002E5C4C"/>
    <w:rsid w:val="002E6626"/>
    <w:rsid w:val="002F0610"/>
    <w:rsid w:val="002F0C87"/>
    <w:rsid w:val="002F1A95"/>
    <w:rsid w:val="002F2BFC"/>
    <w:rsid w:val="002F41A0"/>
    <w:rsid w:val="002F440D"/>
    <w:rsid w:val="002F7113"/>
    <w:rsid w:val="00302D3B"/>
    <w:rsid w:val="00303085"/>
    <w:rsid w:val="003035DF"/>
    <w:rsid w:val="00303CEC"/>
    <w:rsid w:val="0030468E"/>
    <w:rsid w:val="003054BD"/>
    <w:rsid w:val="00307CF8"/>
    <w:rsid w:val="00310BFD"/>
    <w:rsid w:val="00311327"/>
    <w:rsid w:val="0031164F"/>
    <w:rsid w:val="003125E0"/>
    <w:rsid w:val="0031281B"/>
    <w:rsid w:val="00314743"/>
    <w:rsid w:val="00315CF6"/>
    <w:rsid w:val="00315D30"/>
    <w:rsid w:val="0031610F"/>
    <w:rsid w:val="003177AB"/>
    <w:rsid w:val="00317DD3"/>
    <w:rsid w:val="003203FD"/>
    <w:rsid w:val="0032059F"/>
    <w:rsid w:val="003207D8"/>
    <w:rsid w:val="00323885"/>
    <w:rsid w:val="00330187"/>
    <w:rsid w:val="00330706"/>
    <w:rsid w:val="00332D63"/>
    <w:rsid w:val="00332F3E"/>
    <w:rsid w:val="00333BE5"/>
    <w:rsid w:val="0033407A"/>
    <w:rsid w:val="00335B19"/>
    <w:rsid w:val="00337195"/>
    <w:rsid w:val="0034096C"/>
    <w:rsid w:val="003425E3"/>
    <w:rsid w:val="0034326D"/>
    <w:rsid w:val="00343C04"/>
    <w:rsid w:val="003446B6"/>
    <w:rsid w:val="003446D3"/>
    <w:rsid w:val="00346648"/>
    <w:rsid w:val="00347725"/>
    <w:rsid w:val="00347C4E"/>
    <w:rsid w:val="00347DEC"/>
    <w:rsid w:val="00350841"/>
    <w:rsid w:val="003508E9"/>
    <w:rsid w:val="0035091D"/>
    <w:rsid w:val="00354558"/>
    <w:rsid w:val="00356AD7"/>
    <w:rsid w:val="00356E7E"/>
    <w:rsid w:val="00362230"/>
    <w:rsid w:val="00362B63"/>
    <w:rsid w:val="00363EFB"/>
    <w:rsid w:val="00364671"/>
    <w:rsid w:val="00364F02"/>
    <w:rsid w:val="0036747A"/>
    <w:rsid w:val="00370936"/>
    <w:rsid w:val="00370F3A"/>
    <w:rsid w:val="00374773"/>
    <w:rsid w:val="00375B63"/>
    <w:rsid w:val="0038141B"/>
    <w:rsid w:val="00381A13"/>
    <w:rsid w:val="00381AD6"/>
    <w:rsid w:val="00381B92"/>
    <w:rsid w:val="00393A14"/>
    <w:rsid w:val="00393B1F"/>
    <w:rsid w:val="00396072"/>
    <w:rsid w:val="00396A19"/>
    <w:rsid w:val="003973EC"/>
    <w:rsid w:val="003A1FC4"/>
    <w:rsid w:val="003A23DD"/>
    <w:rsid w:val="003A28D4"/>
    <w:rsid w:val="003A2984"/>
    <w:rsid w:val="003A460A"/>
    <w:rsid w:val="003A6737"/>
    <w:rsid w:val="003B0056"/>
    <w:rsid w:val="003B217B"/>
    <w:rsid w:val="003B33EB"/>
    <w:rsid w:val="003B55D4"/>
    <w:rsid w:val="003C296C"/>
    <w:rsid w:val="003C2C07"/>
    <w:rsid w:val="003C3EBB"/>
    <w:rsid w:val="003C463A"/>
    <w:rsid w:val="003C53F4"/>
    <w:rsid w:val="003C7AEA"/>
    <w:rsid w:val="003D04C4"/>
    <w:rsid w:val="003D09AC"/>
    <w:rsid w:val="003D261E"/>
    <w:rsid w:val="003D2797"/>
    <w:rsid w:val="003D39ED"/>
    <w:rsid w:val="003D3A49"/>
    <w:rsid w:val="003D4DBA"/>
    <w:rsid w:val="003D5C30"/>
    <w:rsid w:val="003D6C85"/>
    <w:rsid w:val="003D76B1"/>
    <w:rsid w:val="003E10B3"/>
    <w:rsid w:val="003E303E"/>
    <w:rsid w:val="003E6652"/>
    <w:rsid w:val="003E6E27"/>
    <w:rsid w:val="003F03B7"/>
    <w:rsid w:val="003F1483"/>
    <w:rsid w:val="003F2A88"/>
    <w:rsid w:val="003F2FC1"/>
    <w:rsid w:val="003F3EAE"/>
    <w:rsid w:val="003F459C"/>
    <w:rsid w:val="003F5096"/>
    <w:rsid w:val="003F515D"/>
    <w:rsid w:val="00400D3D"/>
    <w:rsid w:val="00400EB7"/>
    <w:rsid w:val="004021AB"/>
    <w:rsid w:val="004034E3"/>
    <w:rsid w:val="004048F0"/>
    <w:rsid w:val="00405610"/>
    <w:rsid w:val="00406337"/>
    <w:rsid w:val="00406C67"/>
    <w:rsid w:val="004071C2"/>
    <w:rsid w:val="004104FA"/>
    <w:rsid w:val="00410828"/>
    <w:rsid w:val="00410F12"/>
    <w:rsid w:val="00411C4A"/>
    <w:rsid w:val="004129FA"/>
    <w:rsid w:val="00414546"/>
    <w:rsid w:val="00414C02"/>
    <w:rsid w:val="00415855"/>
    <w:rsid w:val="00416A13"/>
    <w:rsid w:val="00420D23"/>
    <w:rsid w:val="00424834"/>
    <w:rsid w:val="0042795A"/>
    <w:rsid w:val="00430B5C"/>
    <w:rsid w:val="00430DB2"/>
    <w:rsid w:val="00430E7F"/>
    <w:rsid w:val="0043291A"/>
    <w:rsid w:val="00432A57"/>
    <w:rsid w:val="00433130"/>
    <w:rsid w:val="0043406F"/>
    <w:rsid w:val="00435F82"/>
    <w:rsid w:val="00437285"/>
    <w:rsid w:val="00443EA7"/>
    <w:rsid w:val="00444267"/>
    <w:rsid w:val="004443D8"/>
    <w:rsid w:val="004516D2"/>
    <w:rsid w:val="00451913"/>
    <w:rsid w:val="00451927"/>
    <w:rsid w:val="004531F3"/>
    <w:rsid w:val="004557EF"/>
    <w:rsid w:val="00455FAD"/>
    <w:rsid w:val="00456811"/>
    <w:rsid w:val="004568D9"/>
    <w:rsid w:val="00460E7F"/>
    <w:rsid w:val="00464D88"/>
    <w:rsid w:val="004650D8"/>
    <w:rsid w:val="00466D36"/>
    <w:rsid w:val="00467C29"/>
    <w:rsid w:val="00467CEC"/>
    <w:rsid w:val="004715AC"/>
    <w:rsid w:val="00471D82"/>
    <w:rsid w:val="004720EF"/>
    <w:rsid w:val="004743B6"/>
    <w:rsid w:val="00474613"/>
    <w:rsid w:val="00474B12"/>
    <w:rsid w:val="00474C41"/>
    <w:rsid w:val="004767F9"/>
    <w:rsid w:val="00476849"/>
    <w:rsid w:val="004772B0"/>
    <w:rsid w:val="0048143D"/>
    <w:rsid w:val="00482554"/>
    <w:rsid w:val="00485CDC"/>
    <w:rsid w:val="004900DF"/>
    <w:rsid w:val="00491FA1"/>
    <w:rsid w:val="00493A26"/>
    <w:rsid w:val="00493C56"/>
    <w:rsid w:val="00494A83"/>
    <w:rsid w:val="004A02A0"/>
    <w:rsid w:val="004A1283"/>
    <w:rsid w:val="004A12D7"/>
    <w:rsid w:val="004A234D"/>
    <w:rsid w:val="004A2DCF"/>
    <w:rsid w:val="004A52F8"/>
    <w:rsid w:val="004A60BE"/>
    <w:rsid w:val="004A6EC5"/>
    <w:rsid w:val="004B0167"/>
    <w:rsid w:val="004B0B0F"/>
    <w:rsid w:val="004B0B4F"/>
    <w:rsid w:val="004B4C5C"/>
    <w:rsid w:val="004B4E73"/>
    <w:rsid w:val="004B65B6"/>
    <w:rsid w:val="004B6A93"/>
    <w:rsid w:val="004C17CB"/>
    <w:rsid w:val="004C2CE1"/>
    <w:rsid w:val="004C4558"/>
    <w:rsid w:val="004C46C5"/>
    <w:rsid w:val="004C4CB1"/>
    <w:rsid w:val="004C556C"/>
    <w:rsid w:val="004C6680"/>
    <w:rsid w:val="004C6F93"/>
    <w:rsid w:val="004C7B9C"/>
    <w:rsid w:val="004D01C6"/>
    <w:rsid w:val="004D03FB"/>
    <w:rsid w:val="004D2C02"/>
    <w:rsid w:val="004D4336"/>
    <w:rsid w:val="004D4F08"/>
    <w:rsid w:val="004E0594"/>
    <w:rsid w:val="004E444B"/>
    <w:rsid w:val="004E62EF"/>
    <w:rsid w:val="004E71A6"/>
    <w:rsid w:val="004E76F7"/>
    <w:rsid w:val="004F0FA4"/>
    <w:rsid w:val="004F21B9"/>
    <w:rsid w:val="004F3498"/>
    <w:rsid w:val="00501E7B"/>
    <w:rsid w:val="005021E5"/>
    <w:rsid w:val="00502F2F"/>
    <w:rsid w:val="005035ED"/>
    <w:rsid w:val="00503725"/>
    <w:rsid w:val="005037F6"/>
    <w:rsid w:val="00504B9B"/>
    <w:rsid w:val="00504EBF"/>
    <w:rsid w:val="00507F1B"/>
    <w:rsid w:val="005103A1"/>
    <w:rsid w:val="00510AB2"/>
    <w:rsid w:val="00511880"/>
    <w:rsid w:val="005159E3"/>
    <w:rsid w:val="00516090"/>
    <w:rsid w:val="005166B4"/>
    <w:rsid w:val="00517CD9"/>
    <w:rsid w:val="0052010B"/>
    <w:rsid w:val="00520961"/>
    <w:rsid w:val="0052385B"/>
    <w:rsid w:val="00524C2A"/>
    <w:rsid w:val="00524D6C"/>
    <w:rsid w:val="00527740"/>
    <w:rsid w:val="00527C95"/>
    <w:rsid w:val="005330EA"/>
    <w:rsid w:val="00533E83"/>
    <w:rsid w:val="00534335"/>
    <w:rsid w:val="0053501F"/>
    <w:rsid w:val="0053783B"/>
    <w:rsid w:val="0054106B"/>
    <w:rsid w:val="00542484"/>
    <w:rsid w:val="00542DB5"/>
    <w:rsid w:val="00543F52"/>
    <w:rsid w:val="00544746"/>
    <w:rsid w:val="005463DF"/>
    <w:rsid w:val="00547873"/>
    <w:rsid w:val="005502D2"/>
    <w:rsid w:val="00550D42"/>
    <w:rsid w:val="00550D7C"/>
    <w:rsid w:val="0055105B"/>
    <w:rsid w:val="00551AB9"/>
    <w:rsid w:val="00551B02"/>
    <w:rsid w:val="00552399"/>
    <w:rsid w:val="00552C5E"/>
    <w:rsid w:val="00557C4C"/>
    <w:rsid w:val="00560567"/>
    <w:rsid w:val="00562012"/>
    <w:rsid w:val="00563763"/>
    <w:rsid w:val="00563BE7"/>
    <w:rsid w:val="00563CF0"/>
    <w:rsid w:val="005643B8"/>
    <w:rsid w:val="005643FE"/>
    <w:rsid w:val="00566203"/>
    <w:rsid w:val="00567DAE"/>
    <w:rsid w:val="00570821"/>
    <w:rsid w:val="00571223"/>
    <w:rsid w:val="00571ED8"/>
    <w:rsid w:val="005721CD"/>
    <w:rsid w:val="00573968"/>
    <w:rsid w:val="00574550"/>
    <w:rsid w:val="00574D84"/>
    <w:rsid w:val="00575698"/>
    <w:rsid w:val="00575766"/>
    <w:rsid w:val="00577812"/>
    <w:rsid w:val="00580DFB"/>
    <w:rsid w:val="00581F04"/>
    <w:rsid w:val="00583664"/>
    <w:rsid w:val="00584296"/>
    <w:rsid w:val="00584752"/>
    <w:rsid w:val="0059062B"/>
    <w:rsid w:val="00590CC1"/>
    <w:rsid w:val="00592017"/>
    <w:rsid w:val="005975A3"/>
    <w:rsid w:val="005A1D18"/>
    <w:rsid w:val="005A33B8"/>
    <w:rsid w:val="005A7F1D"/>
    <w:rsid w:val="005A7F7D"/>
    <w:rsid w:val="005B0EFA"/>
    <w:rsid w:val="005B1B35"/>
    <w:rsid w:val="005B1EA4"/>
    <w:rsid w:val="005B3077"/>
    <w:rsid w:val="005B4C80"/>
    <w:rsid w:val="005B5519"/>
    <w:rsid w:val="005B5B3E"/>
    <w:rsid w:val="005B7420"/>
    <w:rsid w:val="005C038B"/>
    <w:rsid w:val="005C06F5"/>
    <w:rsid w:val="005C1003"/>
    <w:rsid w:val="005C19ED"/>
    <w:rsid w:val="005C2012"/>
    <w:rsid w:val="005C33AE"/>
    <w:rsid w:val="005C5552"/>
    <w:rsid w:val="005C5B2F"/>
    <w:rsid w:val="005C5F6A"/>
    <w:rsid w:val="005C6DED"/>
    <w:rsid w:val="005D0574"/>
    <w:rsid w:val="005D1770"/>
    <w:rsid w:val="005D32D6"/>
    <w:rsid w:val="005D3F3E"/>
    <w:rsid w:val="005D7AC5"/>
    <w:rsid w:val="005E2A64"/>
    <w:rsid w:val="005E2D15"/>
    <w:rsid w:val="005E42A2"/>
    <w:rsid w:val="005E6260"/>
    <w:rsid w:val="005E76A8"/>
    <w:rsid w:val="005E7BC9"/>
    <w:rsid w:val="005F514F"/>
    <w:rsid w:val="005F5541"/>
    <w:rsid w:val="005F5573"/>
    <w:rsid w:val="005F5B8C"/>
    <w:rsid w:val="005F7895"/>
    <w:rsid w:val="006005B5"/>
    <w:rsid w:val="00601144"/>
    <w:rsid w:val="00602093"/>
    <w:rsid w:val="0060275F"/>
    <w:rsid w:val="00602A93"/>
    <w:rsid w:val="00606107"/>
    <w:rsid w:val="006062DB"/>
    <w:rsid w:val="0061149C"/>
    <w:rsid w:val="00615C27"/>
    <w:rsid w:val="00616DC1"/>
    <w:rsid w:val="00616E81"/>
    <w:rsid w:val="00616F8F"/>
    <w:rsid w:val="006206A7"/>
    <w:rsid w:val="00621484"/>
    <w:rsid w:val="00621682"/>
    <w:rsid w:val="00621FDD"/>
    <w:rsid w:val="006227D0"/>
    <w:rsid w:val="00623759"/>
    <w:rsid w:val="006238DD"/>
    <w:rsid w:val="0062461C"/>
    <w:rsid w:val="00625FBC"/>
    <w:rsid w:val="006303F8"/>
    <w:rsid w:val="00630E1A"/>
    <w:rsid w:val="0063162B"/>
    <w:rsid w:val="006316B3"/>
    <w:rsid w:val="00632B9D"/>
    <w:rsid w:val="00632EF4"/>
    <w:rsid w:val="00634423"/>
    <w:rsid w:val="00635EE2"/>
    <w:rsid w:val="0063680E"/>
    <w:rsid w:val="00636A66"/>
    <w:rsid w:val="006376FB"/>
    <w:rsid w:val="00637A1A"/>
    <w:rsid w:val="00641AAF"/>
    <w:rsid w:val="006444BD"/>
    <w:rsid w:val="00644F6D"/>
    <w:rsid w:val="00646303"/>
    <w:rsid w:val="00647915"/>
    <w:rsid w:val="00650B3C"/>
    <w:rsid w:val="00650FD1"/>
    <w:rsid w:val="00652A60"/>
    <w:rsid w:val="00654AAC"/>
    <w:rsid w:val="00654C12"/>
    <w:rsid w:val="0065723F"/>
    <w:rsid w:val="00660176"/>
    <w:rsid w:val="00661B15"/>
    <w:rsid w:val="00661BEB"/>
    <w:rsid w:val="00661D7F"/>
    <w:rsid w:val="0066405F"/>
    <w:rsid w:val="006647C8"/>
    <w:rsid w:val="00664BA4"/>
    <w:rsid w:val="00664EF6"/>
    <w:rsid w:val="0066528A"/>
    <w:rsid w:val="0066596D"/>
    <w:rsid w:val="0067019D"/>
    <w:rsid w:val="0067064E"/>
    <w:rsid w:val="006706B3"/>
    <w:rsid w:val="00672CCD"/>
    <w:rsid w:val="00672E5D"/>
    <w:rsid w:val="00673F40"/>
    <w:rsid w:val="006742C7"/>
    <w:rsid w:val="00675890"/>
    <w:rsid w:val="00677717"/>
    <w:rsid w:val="006810E3"/>
    <w:rsid w:val="00681B6F"/>
    <w:rsid w:val="0068213A"/>
    <w:rsid w:val="00685350"/>
    <w:rsid w:val="0068543D"/>
    <w:rsid w:val="00685FC3"/>
    <w:rsid w:val="006870CF"/>
    <w:rsid w:val="00694D87"/>
    <w:rsid w:val="00695E00"/>
    <w:rsid w:val="00697327"/>
    <w:rsid w:val="006A03B0"/>
    <w:rsid w:val="006A1D35"/>
    <w:rsid w:val="006A3F80"/>
    <w:rsid w:val="006A5F27"/>
    <w:rsid w:val="006A6CC3"/>
    <w:rsid w:val="006A75FA"/>
    <w:rsid w:val="006B0F6B"/>
    <w:rsid w:val="006B16E0"/>
    <w:rsid w:val="006B1966"/>
    <w:rsid w:val="006B6473"/>
    <w:rsid w:val="006B77D9"/>
    <w:rsid w:val="006B7D29"/>
    <w:rsid w:val="006C0032"/>
    <w:rsid w:val="006C010B"/>
    <w:rsid w:val="006C3360"/>
    <w:rsid w:val="006C3981"/>
    <w:rsid w:val="006C4090"/>
    <w:rsid w:val="006C43AD"/>
    <w:rsid w:val="006C4B36"/>
    <w:rsid w:val="006C58FC"/>
    <w:rsid w:val="006C5BB3"/>
    <w:rsid w:val="006C6CEA"/>
    <w:rsid w:val="006D2625"/>
    <w:rsid w:val="006D327C"/>
    <w:rsid w:val="006D3B59"/>
    <w:rsid w:val="006D5477"/>
    <w:rsid w:val="006D7777"/>
    <w:rsid w:val="006E0FC4"/>
    <w:rsid w:val="006E1099"/>
    <w:rsid w:val="006E1F58"/>
    <w:rsid w:val="006E285F"/>
    <w:rsid w:val="006E315D"/>
    <w:rsid w:val="006E3FA6"/>
    <w:rsid w:val="006F0EB6"/>
    <w:rsid w:val="006F106E"/>
    <w:rsid w:val="006F15E7"/>
    <w:rsid w:val="006F2530"/>
    <w:rsid w:val="006F7000"/>
    <w:rsid w:val="006F7EAB"/>
    <w:rsid w:val="00700137"/>
    <w:rsid w:val="007005B6"/>
    <w:rsid w:val="007020B8"/>
    <w:rsid w:val="00702F01"/>
    <w:rsid w:val="007036F2"/>
    <w:rsid w:val="00707510"/>
    <w:rsid w:val="007120B9"/>
    <w:rsid w:val="0071222F"/>
    <w:rsid w:val="007145DA"/>
    <w:rsid w:val="00714A21"/>
    <w:rsid w:val="007158DC"/>
    <w:rsid w:val="00715C9B"/>
    <w:rsid w:val="00716DF7"/>
    <w:rsid w:val="007177BA"/>
    <w:rsid w:val="007179F3"/>
    <w:rsid w:val="00722A6D"/>
    <w:rsid w:val="007251E0"/>
    <w:rsid w:val="00725246"/>
    <w:rsid w:val="00727662"/>
    <w:rsid w:val="007300AD"/>
    <w:rsid w:val="00731E64"/>
    <w:rsid w:val="00732F3C"/>
    <w:rsid w:val="00734E9F"/>
    <w:rsid w:val="00737275"/>
    <w:rsid w:val="007372B0"/>
    <w:rsid w:val="007408EA"/>
    <w:rsid w:val="00741376"/>
    <w:rsid w:val="007423C1"/>
    <w:rsid w:val="00742546"/>
    <w:rsid w:val="00743F64"/>
    <w:rsid w:val="00745F17"/>
    <w:rsid w:val="0074653B"/>
    <w:rsid w:val="00746702"/>
    <w:rsid w:val="007467B2"/>
    <w:rsid w:val="007473AD"/>
    <w:rsid w:val="00750FEE"/>
    <w:rsid w:val="00752102"/>
    <w:rsid w:val="007532E1"/>
    <w:rsid w:val="007536B1"/>
    <w:rsid w:val="0075407D"/>
    <w:rsid w:val="007543C0"/>
    <w:rsid w:val="007548F5"/>
    <w:rsid w:val="00760708"/>
    <w:rsid w:val="0076219C"/>
    <w:rsid w:val="007626F2"/>
    <w:rsid w:val="00762C0F"/>
    <w:rsid w:val="0076408A"/>
    <w:rsid w:val="007665A6"/>
    <w:rsid w:val="00770AE9"/>
    <w:rsid w:val="00770E8F"/>
    <w:rsid w:val="00772EFA"/>
    <w:rsid w:val="00772F66"/>
    <w:rsid w:val="00774434"/>
    <w:rsid w:val="0077540E"/>
    <w:rsid w:val="00775E53"/>
    <w:rsid w:val="007761A5"/>
    <w:rsid w:val="00776C7E"/>
    <w:rsid w:val="00776C89"/>
    <w:rsid w:val="00776F1E"/>
    <w:rsid w:val="00776FCB"/>
    <w:rsid w:val="007813E5"/>
    <w:rsid w:val="0078270C"/>
    <w:rsid w:val="00784E6D"/>
    <w:rsid w:val="00786044"/>
    <w:rsid w:val="0078748B"/>
    <w:rsid w:val="00790976"/>
    <w:rsid w:val="00791BD2"/>
    <w:rsid w:val="007933C0"/>
    <w:rsid w:val="0079609B"/>
    <w:rsid w:val="00797551"/>
    <w:rsid w:val="00797780"/>
    <w:rsid w:val="007A24B7"/>
    <w:rsid w:val="007B0248"/>
    <w:rsid w:val="007B1928"/>
    <w:rsid w:val="007B652E"/>
    <w:rsid w:val="007C00A4"/>
    <w:rsid w:val="007C0611"/>
    <w:rsid w:val="007C1D00"/>
    <w:rsid w:val="007C23A8"/>
    <w:rsid w:val="007C2BC4"/>
    <w:rsid w:val="007C4BE5"/>
    <w:rsid w:val="007C4FE7"/>
    <w:rsid w:val="007C599C"/>
    <w:rsid w:val="007C5E53"/>
    <w:rsid w:val="007C6E9C"/>
    <w:rsid w:val="007D4319"/>
    <w:rsid w:val="007D71DE"/>
    <w:rsid w:val="007E283F"/>
    <w:rsid w:val="007E6455"/>
    <w:rsid w:val="007F146A"/>
    <w:rsid w:val="007F1862"/>
    <w:rsid w:val="007F209F"/>
    <w:rsid w:val="007F439C"/>
    <w:rsid w:val="007F46C9"/>
    <w:rsid w:val="00801B5A"/>
    <w:rsid w:val="00803B67"/>
    <w:rsid w:val="00804316"/>
    <w:rsid w:val="00807028"/>
    <w:rsid w:val="00812370"/>
    <w:rsid w:val="00812812"/>
    <w:rsid w:val="0081282A"/>
    <w:rsid w:val="00813407"/>
    <w:rsid w:val="00814471"/>
    <w:rsid w:val="00814C0E"/>
    <w:rsid w:val="008157DB"/>
    <w:rsid w:val="008160CD"/>
    <w:rsid w:val="00816711"/>
    <w:rsid w:val="00816FE1"/>
    <w:rsid w:val="00821566"/>
    <w:rsid w:val="008218AD"/>
    <w:rsid w:val="00821F69"/>
    <w:rsid w:val="008227B8"/>
    <w:rsid w:val="00824241"/>
    <w:rsid w:val="008269A3"/>
    <w:rsid w:val="0082727F"/>
    <w:rsid w:val="008275D3"/>
    <w:rsid w:val="00827A14"/>
    <w:rsid w:val="0083008A"/>
    <w:rsid w:val="00831915"/>
    <w:rsid w:val="00834855"/>
    <w:rsid w:val="00834D4A"/>
    <w:rsid w:val="00834E22"/>
    <w:rsid w:val="00835609"/>
    <w:rsid w:val="00836D2A"/>
    <w:rsid w:val="0083747F"/>
    <w:rsid w:val="0084267B"/>
    <w:rsid w:val="0084297A"/>
    <w:rsid w:val="00843316"/>
    <w:rsid w:val="0084709A"/>
    <w:rsid w:val="00850A79"/>
    <w:rsid w:val="008514B5"/>
    <w:rsid w:val="00852189"/>
    <w:rsid w:val="008521E0"/>
    <w:rsid w:val="00852E74"/>
    <w:rsid w:val="00854D4C"/>
    <w:rsid w:val="008550C5"/>
    <w:rsid w:val="008553D5"/>
    <w:rsid w:val="0086046A"/>
    <w:rsid w:val="00864347"/>
    <w:rsid w:val="0086575B"/>
    <w:rsid w:val="00867D6A"/>
    <w:rsid w:val="00870FC4"/>
    <w:rsid w:val="00871427"/>
    <w:rsid w:val="00871859"/>
    <w:rsid w:val="00873768"/>
    <w:rsid w:val="00881136"/>
    <w:rsid w:val="00886BF1"/>
    <w:rsid w:val="00886BFA"/>
    <w:rsid w:val="008874E3"/>
    <w:rsid w:val="00890607"/>
    <w:rsid w:val="00892D31"/>
    <w:rsid w:val="00893748"/>
    <w:rsid w:val="00896D9F"/>
    <w:rsid w:val="008A0A69"/>
    <w:rsid w:val="008A16BE"/>
    <w:rsid w:val="008A371D"/>
    <w:rsid w:val="008A5C66"/>
    <w:rsid w:val="008A7B5A"/>
    <w:rsid w:val="008B4553"/>
    <w:rsid w:val="008B52C4"/>
    <w:rsid w:val="008B6EF2"/>
    <w:rsid w:val="008B78F1"/>
    <w:rsid w:val="008B7924"/>
    <w:rsid w:val="008C1FE0"/>
    <w:rsid w:val="008C47CE"/>
    <w:rsid w:val="008C51A5"/>
    <w:rsid w:val="008C66BF"/>
    <w:rsid w:val="008C675C"/>
    <w:rsid w:val="008C6CA7"/>
    <w:rsid w:val="008C777C"/>
    <w:rsid w:val="008C7D7E"/>
    <w:rsid w:val="008D0F38"/>
    <w:rsid w:val="008D1B30"/>
    <w:rsid w:val="008D29FB"/>
    <w:rsid w:val="008D2B4F"/>
    <w:rsid w:val="008D3440"/>
    <w:rsid w:val="008D3F4D"/>
    <w:rsid w:val="008D7CF9"/>
    <w:rsid w:val="008E049F"/>
    <w:rsid w:val="008E0629"/>
    <w:rsid w:val="008E0EDF"/>
    <w:rsid w:val="008E2DBC"/>
    <w:rsid w:val="008E35D4"/>
    <w:rsid w:val="008E3B02"/>
    <w:rsid w:val="008E491C"/>
    <w:rsid w:val="008E584A"/>
    <w:rsid w:val="008E602E"/>
    <w:rsid w:val="008E6180"/>
    <w:rsid w:val="008E638A"/>
    <w:rsid w:val="008E6A46"/>
    <w:rsid w:val="008F1AF7"/>
    <w:rsid w:val="008F245D"/>
    <w:rsid w:val="008F248C"/>
    <w:rsid w:val="008F5660"/>
    <w:rsid w:val="00900B65"/>
    <w:rsid w:val="00901151"/>
    <w:rsid w:val="00902434"/>
    <w:rsid w:val="00904C04"/>
    <w:rsid w:val="009054D8"/>
    <w:rsid w:val="00910B11"/>
    <w:rsid w:val="00911C8F"/>
    <w:rsid w:val="009123EA"/>
    <w:rsid w:val="00912E42"/>
    <w:rsid w:val="009153D9"/>
    <w:rsid w:val="00917716"/>
    <w:rsid w:val="00922634"/>
    <w:rsid w:val="00923A8A"/>
    <w:rsid w:val="00923BF5"/>
    <w:rsid w:val="0092542F"/>
    <w:rsid w:val="0092545F"/>
    <w:rsid w:val="00927FE0"/>
    <w:rsid w:val="00936A0D"/>
    <w:rsid w:val="00936AAB"/>
    <w:rsid w:val="00936DC5"/>
    <w:rsid w:val="00936E89"/>
    <w:rsid w:val="00940C0F"/>
    <w:rsid w:val="0094157F"/>
    <w:rsid w:val="009473A4"/>
    <w:rsid w:val="00950F5F"/>
    <w:rsid w:val="00951748"/>
    <w:rsid w:val="00952BC9"/>
    <w:rsid w:val="00953A22"/>
    <w:rsid w:val="009543B0"/>
    <w:rsid w:val="00956F8D"/>
    <w:rsid w:val="00960BF5"/>
    <w:rsid w:val="00960E83"/>
    <w:rsid w:val="009622FD"/>
    <w:rsid w:val="00962A95"/>
    <w:rsid w:val="00964F46"/>
    <w:rsid w:val="00965305"/>
    <w:rsid w:val="00967211"/>
    <w:rsid w:val="009679A1"/>
    <w:rsid w:val="009710E4"/>
    <w:rsid w:val="00971F4D"/>
    <w:rsid w:val="00972361"/>
    <w:rsid w:val="00972A68"/>
    <w:rsid w:val="00974B4B"/>
    <w:rsid w:val="0097582E"/>
    <w:rsid w:val="00975CB5"/>
    <w:rsid w:val="00976713"/>
    <w:rsid w:val="009778E1"/>
    <w:rsid w:val="00984997"/>
    <w:rsid w:val="00985B6E"/>
    <w:rsid w:val="00986B82"/>
    <w:rsid w:val="00986D44"/>
    <w:rsid w:val="00987F39"/>
    <w:rsid w:val="00991BC4"/>
    <w:rsid w:val="00992949"/>
    <w:rsid w:val="009933FA"/>
    <w:rsid w:val="00996185"/>
    <w:rsid w:val="009965D1"/>
    <w:rsid w:val="009968B3"/>
    <w:rsid w:val="009973B0"/>
    <w:rsid w:val="009973E0"/>
    <w:rsid w:val="009A1A43"/>
    <w:rsid w:val="009A219C"/>
    <w:rsid w:val="009A275F"/>
    <w:rsid w:val="009A339F"/>
    <w:rsid w:val="009A5FB5"/>
    <w:rsid w:val="009A752B"/>
    <w:rsid w:val="009B0A0E"/>
    <w:rsid w:val="009B13E4"/>
    <w:rsid w:val="009B1866"/>
    <w:rsid w:val="009B2207"/>
    <w:rsid w:val="009B25F0"/>
    <w:rsid w:val="009B4B61"/>
    <w:rsid w:val="009B5395"/>
    <w:rsid w:val="009B5683"/>
    <w:rsid w:val="009B5CD1"/>
    <w:rsid w:val="009B7528"/>
    <w:rsid w:val="009C00B8"/>
    <w:rsid w:val="009C057F"/>
    <w:rsid w:val="009C10E4"/>
    <w:rsid w:val="009C5501"/>
    <w:rsid w:val="009D06CC"/>
    <w:rsid w:val="009D250B"/>
    <w:rsid w:val="009D2C60"/>
    <w:rsid w:val="009D38BA"/>
    <w:rsid w:val="009D4DD8"/>
    <w:rsid w:val="009D5A98"/>
    <w:rsid w:val="009D7848"/>
    <w:rsid w:val="009D7FAE"/>
    <w:rsid w:val="009E0276"/>
    <w:rsid w:val="009E150D"/>
    <w:rsid w:val="009E338C"/>
    <w:rsid w:val="009E3657"/>
    <w:rsid w:val="009E3D59"/>
    <w:rsid w:val="009E3DC2"/>
    <w:rsid w:val="009E5630"/>
    <w:rsid w:val="009E774E"/>
    <w:rsid w:val="009E7F50"/>
    <w:rsid w:val="009F0F38"/>
    <w:rsid w:val="009F10EA"/>
    <w:rsid w:val="009F226A"/>
    <w:rsid w:val="009F26AA"/>
    <w:rsid w:val="009F3D00"/>
    <w:rsid w:val="009F443F"/>
    <w:rsid w:val="009F464D"/>
    <w:rsid w:val="009F4E0C"/>
    <w:rsid w:val="009F591F"/>
    <w:rsid w:val="009F61A4"/>
    <w:rsid w:val="009F72AC"/>
    <w:rsid w:val="00A0006B"/>
    <w:rsid w:val="00A00340"/>
    <w:rsid w:val="00A04687"/>
    <w:rsid w:val="00A06A83"/>
    <w:rsid w:val="00A07996"/>
    <w:rsid w:val="00A07C86"/>
    <w:rsid w:val="00A07CE1"/>
    <w:rsid w:val="00A11BC7"/>
    <w:rsid w:val="00A1203A"/>
    <w:rsid w:val="00A138CF"/>
    <w:rsid w:val="00A13A16"/>
    <w:rsid w:val="00A13ED4"/>
    <w:rsid w:val="00A17128"/>
    <w:rsid w:val="00A2106D"/>
    <w:rsid w:val="00A2175C"/>
    <w:rsid w:val="00A21A2E"/>
    <w:rsid w:val="00A2298E"/>
    <w:rsid w:val="00A22D1E"/>
    <w:rsid w:val="00A23108"/>
    <w:rsid w:val="00A246CD"/>
    <w:rsid w:val="00A25BAE"/>
    <w:rsid w:val="00A30EB5"/>
    <w:rsid w:val="00A31396"/>
    <w:rsid w:val="00A316CA"/>
    <w:rsid w:val="00A32C2D"/>
    <w:rsid w:val="00A33955"/>
    <w:rsid w:val="00A34DDF"/>
    <w:rsid w:val="00A355F7"/>
    <w:rsid w:val="00A3635A"/>
    <w:rsid w:val="00A448C6"/>
    <w:rsid w:val="00A45A92"/>
    <w:rsid w:val="00A466C3"/>
    <w:rsid w:val="00A46B3D"/>
    <w:rsid w:val="00A5248D"/>
    <w:rsid w:val="00A526E1"/>
    <w:rsid w:val="00A52A84"/>
    <w:rsid w:val="00A53F01"/>
    <w:rsid w:val="00A540CA"/>
    <w:rsid w:val="00A55250"/>
    <w:rsid w:val="00A556A5"/>
    <w:rsid w:val="00A56DC0"/>
    <w:rsid w:val="00A60368"/>
    <w:rsid w:val="00A60B99"/>
    <w:rsid w:val="00A6222B"/>
    <w:rsid w:val="00A64BCA"/>
    <w:rsid w:val="00A67510"/>
    <w:rsid w:val="00A73704"/>
    <w:rsid w:val="00A73B79"/>
    <w:rsid w:val="00A75728"/>
    <w:rsid w:val="00A75F44"/>
    <w:rsid w:val="00A762C8"/>
    <w:rsid w:val="00A76ADD"/>
    <w:rsid w:val="00A831DF"/>
    <w:rsid w:val="00A83583"/>
    <w:rsid w:val="00A853B3"/>
    <w:rsid w:val="00A857E8"/>
    <w:rsid w:val="00A86809"/>
    <w:rsid w:val="00A87567"/>
    <w:rsid w:val="00A87B02"/>
    <w:rsid w:val="00A9003C"/>
    <w:rsid w:val="00A915C2"/>
    <w:rsid w:val="00A92C7E"/>
    <w:rsid w:val="00A95BAB"/>
    <w:rsid w:val="00A963F3"/>
    <w:rsid w:val="00AA1055"/>
    <w:rsid w:val="00AA2AEB"/>
    <w:rsid w:val="00AA2C91"/>
    <w:rsid w:val="00AA32E3"/>
    <w:rsid w:val="00AA3DAB"/>
    <w:rsid w:val="00AA4761"/>
    <w:rsid w:val="00AA570D"/>
    <w:rsid w:val="00AA5795"/>
    <w:rsid w:val="00AA5AB4"/>
    <w:rsid w:val="00AA6FFB"/>
    <w:rsid w:val="00AA702F"/>
    <w:rsid w:val="00AB5070"/>
    <w:rsid w:val="00AB7275"/>
    <w:rsid w:val="00AC1549"/>
    <w:rsid w:val="00AC35C3"/>
    <w:rsid w:val="00AC399F"/>
    <w:rsid w:val="00AC3EBA"/>
    <w:rsid w:val="00AC55EB"/>
    <w:rsid w:val="00AC76EA"/>
    <w:rsid w:val="00AD12C1"/>
    <w:rsid w:val="00AD30F4"/>
    <w:rsid w:val="00AD3236"/>
    <w:rsid w:val="00AD368A"/>
    <w:rsid w:val="00AD4DF3"/>
    <w:rsid w:val="00AD615F"/>
    <w:rsid w:val="00AD7276"/>
    <w:rsid w:val="00AD765F"/>
    <w:rsid w:val="00AE0669"/>
    <w:rsid w:val="00AE1306"/>
    <w:rsid w:val="00AE130A"/>
    <w:rsid w:val="00AE35E2"/>
    <w:rsid w:val="00AE3713"/>
    <w:rsid w:val="00AE50D5"/>
    <w:rsid w:val="00AE5DD1"/>
    <w:rsid w:val="00AE7A7F"/>
    <w:rsid w:val="00AF3364"/>
    <w:rsid w:val="00AF3505"/>
    <w:rsid w:val="00AF64D1"/>
    <w:rsid w:val="00AF6F29"/>
    <w:rsid w:val="00AF6F6E"/>
    <w:rsid w:val="00AF7608"/>
    <w:rsid w:val="00AF7B15"/>
    <w:rsid w:val="00B01F46"/>
    <w:rsid w:val="00B05EBF"/>
    <w:rsid w:val="00B05FF6"/>
    <w:rsid w:val="00B06C7A"/>
    <w:rsid w:val="00B1081A"/>
    <w:rsid w:val="00B148AA"/>
    <w:rsid w:val="00B15028"/>
    <w:rsid w:val="00B15298"/>
    <w:rsid w:val="00B157AF"/>
    <w:rsid w:val="00B15824"/>
    <w:rsid w:val="00B21EEE"/>
    <w:rsid w:val="00B2254B"/>
    <w:rsid w:val="00B22DB8"/>
    <w:rsid w:val="00B232D8"/>
    <w:rsid w:val="00B237EE"/>
    <w:rsid w:val="00B23876"/>
    <w:rsid w:val="00B243D0"/>
    <w:rsid w:val="00B247B5"/>
    <w:rsid w:val="00B2722D"/>
    <w:rsid w:val="00B3297C"/>
    <w:rsid w:val="00B3522F"/>
    <w:rsid w:val="00B3590B"/>
    <w:rsid w:val="00B369AB"/>
    <w:rsid w:val="00B36E9D"/>
    <w:rsid w:val="00B40E09"/>
    <w:rsid w:val="00B421A4"/>
    <w:rsid w:val="00B42FBE"/>
    <w:rsid w:val="00B448EE"/>
    <w:rsid w:val="00B44CE1"/>
    <w:rsid w:val="00B506B6"/>
    <w:rsid w:val="00B50884"/>
    <w:rsid w:val="00B5099E"/>
    <w:rsid w:val="00B50FFB"/>
    <w:rsid w:val="00B51009"/>
    <w:rsid w:val="00B51CE2"/>
    <w:rsid w:val="00B55BD6"/>
    <w:rsid w:val="00B5751C"/>
    <w:rsid w:val="00B6065F"/>
    <w:rsid w:val="00B6454E"/>
    <w:rsid w:val="00B64E3A"/>
    <w:rsid w:val="00B67849"/>
    <w:rsid w:val="00B71D39"/>
    <w:rsid w:val="00B730A7"/>
    <w:rsid w:val="00B74FA7"/>
    <w:rsid w:val="00B754AE"/>
    <w:rsid w:val="00B75B0F"/>
    <w:rsid w:val="00B76469"/>
    <w:rsid w:val="00B778CF"/>
    <w:rsid w:val="00B81E48"/>
    <w:rsid w:val="00B8223B"/>
    <w:rsid w:val="00B82BE4"/>
    <w:rsid w:val="00B86901"/>
    <w:rsid w:val="00B87481"/>
    <w:rsid w:val="00B87861"/>
    <w:rsid w:val="00B87DF8"/>
    <w:rsid w:val="00B907B2"/>
    <w:rsid w:val="00B90FCE"/>
    <w:rsid w:val="00B91831"/>
    <w:rsid w:val="00B91F34"/>
    <w:rsid w:val="00B93F9D"/>
    <w:rsid w:val="00B94DB4"/>
    <w:rsid w:val="00B959ED"/>
    <w:rsid w:val="00BA223F"/>
    <w:rsid w:val="00BA3836"/>
    <w:rsid w:val="00BA38FD"/>
    <w:rsid w:val="00BA4ED0"/>
    <w:rsid w:val="00BA71FC"/>
    <w:rsid w:val="00BA731B"/>
    <w:rsid w:val="00BA7840"/>
    <w:rsid w:val="00BB18C5"/>
    <w:rsid w:val="00BB3978"/>
    <w:rsid w:val="00BB75DC"/>
    <w:rsid w:val="00BB7AC3"/>
    <w:rsid w:val="00BC4150"/>
    <w:rsid w:val="00BD10D7"/>
    <w:rsid w:val="00BD13FE"/>
    <w:rsid w:val="00BD3016"/>
    <w:rsid w:val="00BD3355"/>
    <w:rsid w:val="00BE02B6"/>
    <w:rsid w:val="00BE4385"/>
    <w:rsid w:val="00BE74F3"/>
    <w:rsid w:val="00BF375F"/>
    <w:rsid w:val="00BF4EFD"/>
    <w:rsid w:val="00BF4FFE"/>
    <w:rsid w:val="00BF61AB"/>
    <w:rsid w:val="00BF6298"/>
    <w:rsid w:val="00BF6B58"/>
    <w:rsid w:val="00BF7FFC"/>
    <w:rsid w:val="00C0147B"/>
    <w:rsid w:val="00C01866"/>
    <w:rsid w:val="00C02ABB"/>
    <w:rsid w:val="00C03A72"/>
    <w:rsid w:val="00C04246"/>
    <w:rsid w:val="00C05B18"/>
    <w:rsid w:val="00C06ECD"/>
    <w:rsid w:val="00C07D35"/>
    <w:rsid w:val="00C1164B"/>
    <w:rsid w:val="00C226C1"/>
    <w:rsid w:val="00C22DDD"/>
    <w:rsid w:val="00C230BD"/>
    <w:rsid w:val="00C243BA"/>
    <w:rsid w:val="00C2511F"/>
    <w:rsid w:val="00C25C10"/>
    <w:rsid w:val="00C30EF2"/>
    <w:rsid w:val="00C31417"/>
    <w:rsid w:val="00C318E0"/>
    <w:rsid w:val="00C32E3E"/>
    <w:rsid w:val="00C33639"/>
    <w:rsid w:val="00C342AD"/>
    <w:rsid w:val="00C354AE"/>
    <w:rsid w:val="00C35AB5"/>
    <w:rsid w:val="00C35DC7"/>
    <w:rsid w:val="00C40A16"/>
    <w:rsid w:val="00C4554B"/>
    <w:rsid w:val="00C46C5F"/>
    <w:rsid w:val="00C47AAE"/>
    <w:rsid w:val="00C500BC"/>
    <w:rsid w:val="00C51B23"/>
    <w:rsid w:val="00C51C85"/>
    <w:rsid w:val="00C53623"/>
    <w:rsid w:val="00C56A03"/>
    <w:rsid w:val="00C57A6F"/>
    <w:rsid w:val="00C64050"/>
    <w:rsid w:val="00C712BB"/>
    <w:rsid w:val="00C72724"/>
    <w:rsid w:val="00C7468B"/>
    <w:rsid w:val="00C75029"/>
    <w:rsid w:val="00C75215"/>
    <w:rsid w:val="00C75B55"/>
    <w:rsid w:val="00C761A6"/>
    <w:rsid w:val="00C76A41"/>
    <w:rsid w:val="00C7741F"/>
    <w:rsid w:val="00C804E0"/>
    <w:rsid w:val="00C81ECD"/>
    <w:rsid w:val="00C8471A"/>
    <w:rsid w:val="00C85874"/>
    <w:rsid w:val="00C87188"/>
    <w:rsid w:val="00C8779E"/>
    <w:rsid w:val="00C91472"/>
    <w:rsid w:val="00C91F52"/>
    <w:rsid w:val="00C94894"/>
    <w:rsid w:val="00C94C92"/>
    <w:rsid w:val="00C94DE0"/>
    <w:rsid w:val="00C954F6"/>
    <w:rsid w:val="00C9725D"/>
    <w:rsid w:val="00CA18B1"/>
    <w:rsid w:val="00CA2F88"/>
    <w:rsid w:val="00CA4C9C"/>
    <w:rsid w:val="00CA5771"/>
    <w:rsid w:val="00CA5905"/>
    <w:rsid w:val="00CA71CE"/>
    <w:rsid w:val="00CA7B6E"/>
    <w:rsid w:val="00CB0676"/>
    <w:rsid w:val="00CB15E7"/>
    <w:rsid w:val="00CB18A2"/>
    <w:rsid w:val="00CB1B7C"/>
    <w:rsid w:val="00CB225A"/>
    <w:rsid w:val="00CB2DE9"/>
    <w:rsid w:val="00CB4046"/>
    <w:rsid w:val="00CB6776"/>
    <w:rsid w:val="00CB6CB7"/>
    <w:rsid w:val="00CC0C55"/>
    <w:rsid w:val="00CC3227"/>
    <w:rsid w:val="00CC33C2"/>
    <w:rsid w:val="00CC37F0"/>
    <w:rsid w:val="00CC4E5C"/>
    <w:rsid w:val="00CC5887"/>
    <w:rsid w:val="00CC5F1B"/>
    <w:rsid w:val="00CD0320"/>
    <w:rsid w:val="00CD2A5C"/>
    <w:rsid w:val="00CD42BF"/>
    <w:rsid w:val="00CD42DA"/>
    <w:rsid w:val="00CD5736"/>
    <w:rsid w:val="00CD5B7A"/>
    <w:rsid w:val="00CD5F5D"/>
    <w:rsid w:val="00CD6038"/>
    <w:rsid w:val="00CD67A0"/>
    <w:rsid w:val="00CD73D3"/>
    <w:rsid w:val="00CE2897"/>
    <w:rsid w:val="00CE34BD"/>
    <w:rsid w:val="00CE383E"/>
    <w:rsid w:val="00CE3C56"/>
    <w:rsid w:val="00CE5073"/>
    <w:rsid w:val="00CE51D7"/>
    <w:rsid w:val="00CE6C28"/>
    <w:rsid w:val="00CE7F80"/>
    <w:rsid w:val="00CF37C9"/>
    <w:rsid w:val="00CF5C09"/>
    <w:rsid w:val="00CF626E"/>
    <w:rsid w:val="00CF76D1"/>
    <w:rsid w:val="00D01094"/>
    <w:rsid w:val="00D02FA1"/>
    <w:rsid w:val="00D07D58"/>
    <w:rsid w:val="00D114E4"/>
    <w:rsid w:val="00D12778"/>
    <w:rsid w:val="00D128E8"/>
    <w:rsid w:val="00D129A3"/>
    <w:rsid w:val="00D12ABC"/>
    <w:rsid w:val="00D13BDF"/>
    <w:rsid w:val="00D15346"/>
    <w:rsid w:val="00D15E3D"/>
    <w:rsid w:val="00D16134"/>
    <w:rsid w:val="00D2019E"/>
    <w:rsid w:val="00D21372"/>
    <w:rsid w:val="00D22E88"/>
    <w:rsid w:val="00D2439B"/>
    <w:rsid w:val="00D252DC"/>
    <w:rsid w:val="00D2671C"/>
    <w:rsid w:val="00D27111"/>
    <w:rsid w:val="00D27172"/>
    <w:rsid w:val="00D2737A"/>
    <w:rsid w:val="00D30C90"/>
    <w:rsid w:val="00D40075"/>
    <w:rsid w:val="00D40236"/>
    <w:rsid w:val="00D4207A"/>
    <w:rsid w:val="00D43B4B"/>
    <w:rsid w:val="00D43D69"/>
    <w:rsid w:val="00D450F4"/>
    <w:rsid w:val="00D46FEA"/>
    <w:rsid w:val="00D51079"/>
    <w:rsid w:val="00D54759"/>
    <w:rsid w:val="00D55D57"/>
    <w:rsid w:val="00D56184"/>
    <w:rsid w:val="00D61A78"/>
    <w:rsid w:val="00D62F5C"/>
    <w:rsid w:val="00D63E19"/>
    <w:rsid w:val="00D646C6"/>
    <w:rsid w:val="00D65DD1"/>
    <w:rsid w:val="00D66E3D"/>
    <w:rsid w:val="00D70525"/>
    <w:rsid w:val="00D70B54"/>
    <w:rsid w:val="00D72D84"/>
    <w:rsid w:val="00D72D86"/>
    <w:rsid w:val="00D743E7"/>
    <w:rsid w:val="00D7617F"/>
    <w:rsid w:val="00D80137"/>
    <w:rsid w:val="00D81BE3"/>
    <w:rsid w:val="00D827C3"/>
    <w:rsid w:val="00D832ED"/>
    <w:rsid w:val="00D84037"/>
    <w:rsid w:val="00D855B1"/>
    <w:rsid w:val="00D85B35"/>
    <w:rsid w:val="00D85D61"/>
    <w:rsid w:val="00D86C2C"/>
    <w:rsid w:val="00D94F6A"/>
    <w:rsid w:val="00D954ED"/>
    <w:rsid w:val="00DA1514"/>
    <w:rsid w:val="00DA6200"/>
    <w:rsid w:val="00DA6292"/>
    <w:rsid w:val="00DA6381"/>
    <w:rsid w:val="00DA72DF"/>
    <w:rsid w:val="00DB211F"/>
    <w:rsid w:val="00DB406D"/>
    <w:rsid w:val="00DC324D"/>
    <w:rsid w:val="00DC63EF"/>
    <w:rsid w:val="00DD2555"/>
    <w:rsid w:val="00DD257A"/>
    <w:rsid w:val="00DD3084"/>
    <w:rsid w:val="00DD35B6"/>
    <w:rsid w:val="00DD363E"/>
    <w:rsid w:val="00DD4BBA"/>
    <w:rsid w:val="00DD5D6A"/>
    <w:rsid w:val="00DD7558"/>
    <w:rsid w:val="00DE3692"/>
    <w:rsid w:val="00DE583B"/>
    <w:rsid w:val="00DE6A51"/>
    <w:rsid w:val="00DE7026"/>
    <w:rsid w:val="00DF0631"/>
    <w:rsid w:val="00DF6A19"/>
    <w:rsid w:val="00DF7047"/>
    <w:rsid w:val="00DF760E"/>
    <w:rsid w:val="00E00411"/>
    <w:rsid w:val="00E01DB6"/>
    <w:rsid w:val="00E04681"/>
    <w:rsid w:val="00E107F2"/>
    <w:rsid w:val="00E117D1"/>
    <w:rsid w:val="00E13026"/>
    <w:rsid w:val="00E14710"/>
    <w:rsid w:val="00E15831"/>
    <w:rsid w:val="00E169EE"/>
    <w:rsid w:val="00E20962"/>
    <w:rsid w:val="00E21315"/>
    <w:rsid w:val="00E224DE"/>
    <w:rsid w:val="00E22546"/>
    <w:rsid w:val="00E23F03"/>
    <w:rsid w:val="00E244E8"/>
    <w:rsid w:val="00E25061"/>
    <w:rsid w:val="00E30F4F"/>
    <w:rsid w:val="00E32C43"/>
    <w:rsid w:val="00E33542"/>
    <w:rsid w:val="00E369AE"/>
    <w:rsid w:val="00E417F9"/>
    <w:rsid w:val="00E41E62"/>
    <w:rsid w:val="00E43C43"/>
    <w:rsid w:val="00E444AB"/>
    <w:rsid w:val="00E52398"/>
    <w:rsid w:val="00E525F0"/>
    <w:rsid w:val="00E5394E"/>
    <w:rsid w:val="00E545D0"/>
    <w:rsid w:val="00E5543F"/>
    <w:rsid w:val="00E55460"/>
    <w:rsid w:val="00E560BD"/>
    <w:rsid w:val="00E56D86"/>
    <w:rsid w:val="00E60BB0"/>
    <w:rsid w:val="00E60F28"/>
    <w:rsid w:val="00E61050"/>
    <w:rsid w:val="00E63FEB"/>
    <w:rsid w:val="00E660E4"/>
    <w:rsid w:val="00E6692A"/>
    <w:rsid w:val="00E66BA9"/>
    <w:rsid w:val="00E66BFA"/>
    <w:rsid w:val="00E67A0A"/>
    <w:rsid w:val="00E72379"/>
    <w:rsid w:val="00E74075"/>
    <w:rsid w:val="00E740AC"/>
    <w:rsid w:val="00E74D5C"/>
    <w:rsid w:val="00E75550"/>
    <w:rsid w:val="00E7580D"/>
    <w:rsid w:val="00E7687F"/>
    <w:rsid w:val="00E8019C"/>
    <w:rsid w:val="00E80C8A"/>
    <w:rsid w:val="00E83CBF"/>
    <w:rsid w:val="00E83FA0"/>
    <w:rsid w:val="00E84CB5"/>
    <w:rsid w:val="00E851F2"/>
    <w:rsid w:val="00E86EC9"/>
    <w:rsid w:val="00E874BF"/>
    <w:rsid w:val="00E8782E"/>
    <w:rsid w:val="00E90850"/>
    <w:rsid w:val="00E9135F"/>
    <w:rsid w:val="00E93C1C"/>
    <w:rsid w:val="00E93E93"/>
    <w:rsid w:val="00E9460A"/>
    <w:rsid w:val="00E954EC"/>
    <w:rsid w:val="00E95F09"/>
    <w:rsid w:val="00E97EE3"/>
    <w:rsid w:val="00EA0039"/>
    <w:rsid w:val="00EA239E"/>
    <w:rsid w:val="00EA2A76"/>
    <w:rsid w:val="00EA3237"/>
    <w:rsid w:val="00EA6859"/>
    <w:rsid w:val="00EA6CFC"/>
    <w:rsid w:val="00EA6DEF"/>
    <w:rsid w:val="00EB10A2"/>
    <w:rsid w:val="00EB2D5B"/>
    <w:rsid w:val="00EB4214"/>
    <w:rsid w:val="00EB4B82"/>
    <w:rsid w:val="00EB6EA1"/>
    <w:rsid w:val="00EC5BEB"/>
    <w:rsid w:val="00EC6315"/>
    <w:rsid w:val="00EC6FEA"/>
    <w:rsid w:val="00EC7E1B"/>
    <w:rsid w:val="00ED3183"/>
    <w:rsid w:val="00ED44C0"/>
    <w:rsid w:val="00ED4943"/>
    <w:rsid w:val="00ED63F5"/>
    <w:rsid w:val="00ED6F5B"/>
    <w:rsid w:val="00EE15DC"/>
    <w:rsid w:val="00EE4127"/>
    <w:rsid w:val="00EF1C8C"/>
    <w:rsid w:val="00EF5186"/>
    <w:rsid w:val="00EF7DC8"/>
    <w:rsid w:val="00F00760"/>
    <w:rsid w:val="00F00800"/>
    <w:rsid w:val="00F028DC"/>
    <w:rsid w:val="00F045E6"/>
    <w:rsid w:val="00F05B0A"/>
    <w:rsid w:val="00F068D1"/>
    <w:rsid w:val="00F0697C"/>
    <w:rsid w:val="00F07678"/>
    <w:rsid w:val="00F15391"/>
    <w:rsid w:val="00F16914"/>
    <w:rsid w:val="00F16C41"/>
    <w:rsid w:val="00F16DA6"/>
    <w:rsid w:val="00F20A44"/>
    <w:rsid w:val="00F22984"/>
    <w:rsid w:val="00F22E67"/>
    <w:rsid w:val="00F2339B"/>
    <w:rsid w:val="00F248F1"/>
    <w:rsid w:val="00F251F7"/>
    <w:rsid w:val="00F27627"/>
    <w:rsid w:val="00F278AD"/>
    <w:rsid w:val="00F27BC0"/>
    <w:rsid w:val="00F32E77"/>
    <w:rsid w:val="00F33194"/>
    <w:rsid w:val="00F33381"/>
    <w:rsid w:val="00F33C1B"/>
    <w:rsid w:val="00F345B4"/>
    <w:rsid w:val="00F356B8"/>
    <w:rsid w:val="00F3592D"/>
    <w:rsid w:val="00F361A4"/>
    <w:rsid w:val="00F36DFF"/>
    <w:rsid w:val="00F42029"/>
    <w:rsid w:val="00F42BB1"/>
    <w:rsid w:val="00F44098"/>
    <w:rsid w:val="00F4454A"/>
    <w:rsid w:val="00F44CE1"/>
    <w:rsid w:val="00F456A9"/>
    <w:rsid w:val="00F46352"/>
    <w:rsid w:val="00F47211"/>
    <w:rsid w:val="00F537A0"/>
    <w:rsid w:val="00F5408D"/>
    <w:rsid w:val="00F54535"/>
    <w:rsid w:val="00F54A16"/>
    <w:rsid w:val="00F54DA0"/>
    <w:rsid w:val="00F560BE"/>
    <w:rsid w:val="00F56BA6"/>
    <w:rsid w:val="00F57763"/>
    <w:rsid w:val="00F6220C"/>
    <w:rsid w:val="00F63A5E"/>
    <w:rsid w:val="00F64DD6"/>
    <w:rsid w:val="00F65B0F"/>
    <w:rsid w:val="00F66E68"/>
    <w:rsid w:val="00F714AE"/>
    <w:rsid w:val="00F72178"/>
    <w:rsid w:val="00F7318B"/>
    <w:rsid w:val="00F7579A"/>
    <w:rsid w:val="00F76259"/>
    <w:rsid w:val="00F7664C"/>
    <w:rsid w:val="00F7767B"/>
    <w:rsid w:val="00F77C5C"/>
    <w:rsid w:val="00F81E65"/>
    <w:rsid w:val="00F84ECC"/>
    <w:rsid w:val="00F86387"/>
    <w:rsid w:val="00F87247"/>
    <w:rsid w:val="00F87C6E"/>
    <w:rsid w:val="00F87E93"/>
    <w:rsid w:val="00F9300E"/>
    <w:rsid w:val="00F9636E"/>
    <w:rsid w:val="00F966AC"/>
    <w:rsid w:val="00F96F34"/>
    <w:rsid w:val="00FA0FCE"/>
    <w:rsid w:val="00FA3147"/>
    <w:rsid w:val="00FA419A"/>
    <w:rsid w:val="00FA5823"/>
    <w:rsid w:val="00FA6C7F"/>
    <w:rsid w:val="00FA7C62"/>
    <w:rsid w:val="00FB04BA"/>
    <w:rsid w:val="00FB18FC"/>
    <w:rsid w:val="00FB1945"/>
    <w:rsid w:val="00FB4C67"/>
    <w:rsid w:val="00FB647A"/>
    <w:rsid w:val="00FB7031"/>
    <w:rsid w:val="00FB73D4"/>
    <w:rsid w:val="00FB7C72"/>
    <w:rsid w:val="00FC110B"/>
    <w:rsid w:val="00FC1647"/>
    <w:rsid w:val="00FC1B71"/>
    <w:rsid w:val="00FC3110"/>
    <w:rsid w:val="00FC407F"/>
    <w:rsid w:val="00FC4AC9"/>
    <w:rsid w:val="00FC7736"/>
    <w:rsid w:val="00FD0746"/>
    <w:rsid w:val="00FD1759"/>
    <w:rsid w:val="00FD2115"/>
    <w:rsid w:val="00FD4D23"/>
    <w:rsid w:val="00FD5F99"/>
    <w:rsid w:val="00FD6457"/>
    <w:rsid w:val="00FD76C7"/>
    <w:rsid w:val="00FE13D7"/>
    <w:rsid w:val="00FE1403"/>
    <w:rsid w:val="00FE21D0"/>
    <w:rsid w:val="00FE2244"/>
    <w:rsid w:val="00FE5243"/>
    <w:rsid w:val="00FE5421"/>
    <w:rsid w:val="00FE675C"/>
    <w:rsid w:val="00FE6C69"/>
    <w:rsid w:val="00FE6DCE"/>
    <w:rsid w:val="00FE6F0A"/>
    <w:rsid w:val="00FE7133"/>
    <w:rsid w:val="00FF13C8"/>
    <w:rsid w:val="00FF4B98"/>
    <w:rsid w:val="00FF5FF9"/>
    <w:rsid w:val="00FF609B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28"/>
    <w:rPr>
      <w:rFonts w:ascii="Times New Roman" w:eastAsia="Times New Roman" w:hAnsi="Times New Roman"/>
      <w:sz w:val="24"/>
      <w:szCs w:val="24"/>
      <w:lang w:eastAsia="cy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1CE2"/>
    <w:pPr>
      <w:keepNext/>
      <w:ind w:left="2160" w:firstLine="720"/>
      <w:outlineLvl w:val="0"/>
    </w:pPr>
    <w:rPr>
      <w:b/>
      <w:sz w:val="20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1CE2"/>
    <w:pPr>
      <w:keepNext/>
      <w:ind w:left="1058"/>
      <w:outlineLvl w:val="2"/>
    </w:pPr>
    <w:rPr>
      <w:rFonts w:ascii="Arial" w:hAnsi="Arial"/>
      <w:b/>
      <w:szCs w:val="20"/>
      <w:u w:val="single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1CE2"/>
    <w:pPr>
      <w:spacing w:before="240" w:after="60"/>
      <w:ind w:left="72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1CE2"/>
    <w:rPr>
      <w:rFonts w:ascii="Times New Roman" w:hAnsi="Times New Roman" w:cs="Times New Roman"/>
      <w:b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51CE2"/>
    <w:rPr>
      <w:rFonts w:ascii="Arial" w:hAnsi="Arial" w:cs="Times New Roman"/>
      <w:b/>
      <w:sz w:val="24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51CE2"/>
    <w:rPr>
      <w:rFonts w:ascii="Cambria" w:hAnsi="Cambria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310BF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90607"/>
    <w:pPr>
      <w:ind w:left="720"/>
    </w:pPr>
  </w:style>
  <w:style w:type="paragraph" w:styleId="Header">
    <w:name w:val="header"/>
    <w:basedOn w:val="Normal"/>
    <w:link w:val="HeaderChar"/>
    <w:uiPriority w:val="99"/>
    <w:rsid w:val="008E491C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491C"/>
    <w:rPr>
      <w:rFonts w:eastAsia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9933FA"/>
    <w:rPr>
      <w:rFonts w:cs="Times New Roman"/>
      <w:color w:val="0000FF"/>
      <w:u w:val="single"/>
    </w:rPr>
  </w:style>
  <w:style w:type="paragraph" w:customStyle="1" w:styleId="BCSBulletparagraph">
    <w:name w:val="| BCS | Bullet paragraph"/>
    <w:basedOn w:val="Normal"/>
    <w:link w:val="BCSBulletparagraphChar"/>
    <w:uiPriority w:val="99"/>
    <w:rsid w:val="000E6F8C"/>
    <w:pPr>
      <w:numPr>
        <w:numId w:val="2"/>
      </w:numPr>
      <w:tabs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textAlignment w:val="baseline"/>
    </w:pPr>
    <w:rPr>
      <w:rFonts w:ascii="Arial" w:eastAsia="Calibri" w:hAnsi="Arial"/>
      <w:szCs w:val="20"/>
      <w:lang w:eastAsia="en-GB"/>
    </w:rPr>
  </w:style>
  <w:style w:type="character" w:customStyle="1" w:styleId="BCSBulletparagraphChar">
    <w:name w:val="| BCS | Bullet paragraph Char"/>
    <w:link w:val="BCSBulletparagraph"/>
    <w:uiPriority w:val="99"/>
    <w:locked/>
    <w:rsid w:val="000E6F8C"/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DA72DF"/>
    <w:pPr>
      <w:spacing w:before="100" w:beforeAutospacing="1" w:after="100" w:afterAutospacing="1"/>
    </w:pPr>
    <w:rPr>
      <w:rFonts w:eastAsia="Calibri"/>
      <w:lang w:eastAsia="en-GB"/>
    </w:rPr>
  </w:style>
  <w:style w:type="paragraph" w:styleId="Footer">
    <w:name w:val="footer"/>
    <w:basedOn w:val="Normal"/>
    <w:link w:val="FooterChar"/>
    <w:uiPriority w:val="99"/>
    <w:rsid w:val="00827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75D3"/>
    <w:rPr>
      <w:rFonts w:ascii="Times New Roman" w:hAnsi="Times New Roman" w:cs="Times New Roman"/>
      <w:sz w:val="24"/>
      <w:szCs w:val="24"/>
      <w:lang w:val="cy-GB" w:eastAsia="cy-GB"/>
    </w:rPr>
  </w:style>
  <w:style w:type="paragraph" w:customStyle="1" w:styleId="msolistparagraph0">
    <w:name w:val="msolistparagraph"/>
    <w:basedOn w:val="Normal"/>
    <w:uiPriority w:val="99"/>
    <w:rsid w:val="00EC5BEB"/>
    <w:pPr>
      <w:ind w:left="720"/>
    </w:pPr>
    <w:rPr>
      <w:rFonts w:eastAsia="Calibri"/>
      <w:lang w:eastAsia="en-GB"/>
    </w:rPr>
  </w:style>
  <w:style w:type="paragraph" w:customStyle="1" w:styleId="msolistparagraphcxspmiddle">
    <w:name w:val="msolistparagraphcxspmiddle"/>
    <w:basedOn w:val="Normal"/>
    <w:uiPriority w:val="99"/>
    <w:rsid w:val="00EC5BEB"/>
    <w:pPr>
      <w:spacing w:before="100" w:beforeAutospacing="1" w:after="100" w:afterAutospacing="1"/>
    </w:pPr>
    <w:rPr>
      <w:rFonts w:eastAsia="Calibri"/>
      <w:lang w:eastAsia="en-GB"/>
    </w:rPr>
  </w:style>
  <w:style w:type="paragraph" w:styleId="BodyText">
    <w:name w:val="Body Text"/>
    <w:basedOn w:val="Normal"/>
    <w:link w:val="BodyTextChar"/>
    <w:uiPriority w:val="99"/>
    <w:rsid w:val="00B51CE2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1CE2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B51CE2"/>
    <w:pPr>
      <w:jc w:val="center"/>
    </w:pPr>
    <w:rPr>
      <w:b/>
      <w:sz w:val="22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51CE2"/>
    <w:rPr>
      <w:rFonts w:ascii="Times New Roman" w:hAnsi="Times New Roman" w:cs="Times New Roman"/>
      <w:b/>
      <w:sz w:val="22"/>
      <w:u w:val="single"/>
      <w:lang w:eastAsia="en-US"/>
    </w:rPr>
  </w:style>
  <w:style w:type="paragraph" w:customStyle="1" w:styleId="Informal1">
    <w:name w:val="Informal1"/>
    <w:basedOn w:val="Normal"/>
    <w:uiPriority w:val="99"/>
    <w:rsid w:val="00991BC4"/>
    <w:pPr>
      <w:suppressAutoHyphens/>
    </w:pPr>
    <w:rPr>
      <w:kern w:val="1"/>
      <w:lang w:val="en-US" w:eastAsia="ar-SA"/>
    </w:rPr>
  </w:style>
  <w:style w:type="character" w:styleId="PageNumber">
    <w:name w:val="page number"/>
    <w:basedOn w:val="DefaultParagraphFont"/>
    <w:uiPriority w:val="99"/>
    <w:rsid w:val="000336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AE"/>
    <w:rPr>
      <w:rFonts w:ascii="Tahoma" w:eastAsia="Times New Roman" w:hAnsi="Tahoma" w:cs="Tahoma"/>
      <w:sz w:val="16"/>
      <w:szCs w:val="16"/>
      <w:lang w:eastAsia="cy-GB"/>
    </w:rPr>
  </w:style>
  <w:style w:type="character" w:styleId="FollowedHyperlink">
    <w:name w:val="FollowedHyperlink"/>
    <w:basedOn w:val="DefaultParagraphFont"/>
    <w:uiPriority w:val="99"/>
    <w:semiHidden/>
    <w:unhideWhenUsed/>
    <w:rsid w:val="00F456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28"/>
    <w:rPr>
      <w:rFonts w:ascii="Times New Roman" w:eastAsia="Times New Roman" w:hAnsi="Times New Roman"/>
      <w:sz w:val="24"/>
      <w:szCs w:val="24"/>
      <w:lang w:eastAsia="cy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1CE2"/>
    <w:pPr>
      <w:keepNext/>
      <w:ind w:left="2160" w:firstLine="720"/>
      <w:outlineLvl w:val="0"/>
    </w:pPr>
    <w:rPr>
      <w:b/>
      <w:sz w:val="20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1CE2"/>
    <w:pPr>
      <w:keepNext/>
      <w:ind w:left="1058"/>
      <w:outlineLvl w:val="2"/>
    </w:pPr>
    <w:rPr>
      <w:rFonts w:ascii="Arial" w:hAnsi="Arial"/>
      <w:b/>
      <w:szCs w:val="20"/>
      <w:u w:val="single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1CE2"/>
    <w:pPr>
      <w:spacing w:before="240" w:after="60"/>
      <w:ind w:left="72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1CE2"/>
    <w:rPr>
      <w:rFonts w:ascii="Times New Roman" w:hAnsi="Times New Roman" w:cs="Times New Roman"/>
      <w:b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51CE2"/>
    <w:rPr>
      <w:rFonts w:ascii="Arial" w:hAnsi="Arial" w:cs="Times New Roman"/>
      <w:b/>
      <w:sz w:val="24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51CE2"/>
    <w:rPr>
      <w:rFonts w:ascii="Cambria" w:hAnsi="Cambria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310BF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90607"/>
    <w:pPr>
      <w:ind w:left="720"/>
    </w:pPr>
  </w:style>
  <w:style w:type="paragraph" w:styleId="Header">
    <w:name w:val="header"/>
    <w:basedOn w:val="Normal"/>
    <w:link w:val="HeaderChar"/>
    <w:uiPriority w:val="99"/>
    <w:rsid w:val="008E491C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491C"/>
    <w:rPr>
      <w:rFonts w:eastAsia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9933FA"/>
    <w:rPr>
      <w:rFonts w:cs="Times New Roman"/>
      <w:color w:val="0000FF"/>
      <w:u w:val="single"/>
    </w:rPr>
  </w:style>
  <w:style w:type="paragraph" w:customStyle="1" w:styleId="BCSBulletparagraph">
    <w:name w:val="| BCS | Bullet paragraph"/>
    <w:basedOn w:val="Normal"/>
    <w:link w:val="BCSBulletparagraphChar"/>
    <w:uiPriority w:val="99"/>
    <w:rsid w:val="000E6F8C"/>
    <w:pPr>
      <w:numPr>
        <w:numId w:val="2"/>
      </w:numPr>
      <w:tabs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textAlignment w:val="baseline"/>
    </w:pPr>
    <w:rPr>
      <w:rFonts w:ascii="Arial" w:eastAsia="Calibri" w:hAnsi="Arial"/>
      <w:szCs w:val="20"/>
      <w:lang w:eastAsia="en-GB"/>
    </w:rPr>
  </w:style>
  <w:style w:type="character" w:customStyle="1" w:styleId="BCSBulletparagraphChar">
    <w:name w:val="| BCS | Bullet paragraph Char"/>
    <w:link w:val="BCSBulletparagraph"/>
    <w:uiPriority w:val="99"/>
    <w:locked/>
    <w:rsid w:val="000E6F8C"/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DA72DF"/>
    <w:pPr>
      <w:spacing w:before="100" w:beforeAutospacing="1" w:after="100" w:afterAutospacing="1"/>
    </w:pPr>
    <w:rPr>
      <w:rFonts w:eastAsia="Calibri"/>
      <w:lang w:eastAsia="en-GB"/>
    </w:rPr>
  </w:style>
  <w:style w:type="paragraph" w:styleId="Footer">
    <w:name w:val="footer"/>
    <w:basedOn w:val="Normal"/>
    <w:link w:val="FooterChar"/>
    <w:uiPriority w:val="99"/>
    <w:rsid w:val="00827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75D3"/>
    <w:rPr>
      <w:rFonts w:ascii="Times New Roman" w:hAnsi="Times New Roman" w:cs="Times New Roman"/>
      <w:sz w:val="24"/>
      <w:szCs w:val="24"/>
      <w:lang w:val="cy-GB" w:eastAsia="cy-GB"/>
    </w:rPr>
  </w:style>
  <w:style w:type="paragraph" w:customStyle="1" w:styleId="msolistparagraph0">
    <w:name w:val="msolistparagraph"/>
    <w:basedOn w:val="Normal"/>
    <w:uiPriority w:val="99"/>
    <w:rsid w:val="00EC5BEB"/>
    <w:pPr>
      <w:ind w:left="720"/>
    </w:pPr>
    <w:rPr>
      <w:rFonts w:eastAsia="Calibri"/>
      <w:lang w:eastAsia="en-GB"/>
    </w:rPr>
  </w:style>
  <w:style w:type="paragraph" w:customStyle="1" w:styleId="msolistparagraphcxspmiddle">
    <w:name w:val="msolistparagraphcxspmiddle"/>
    <w:basedOn w:val="Normal"/>
    <w:uiPriority w:val="99"/>
    <w:rsid w:val="00EC5BEB"/>
    <w:pPr>
      <w:spacing w:before="100" w:beforeAutospacing="1" w:after="100" w:afterAutospacing="1"/>
    </w:pPr>
    <w:rPr>
      <w:rFonts w:eastAsia="Calibri"/>
      <w:lang w:eastAsia="en-GB"/>
    </w:rPr>
  </w:style>
  <w:style w:type="paragraph" w:styleId="BodyText">
    <w:name w:val="Body Text"/>
    <w:basedOn w:val="Normal"/>
    <w:link w:val="BodyTextChar"/>
    <w:uiPriority w:val="99"/>
    <w:rsid w:val="00B51CE2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1CE2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B51CE2"/>
    <w:pPr>
      <w:jc w:val="center"/>
    </w:pPr>
    <w:rPr>
      <w:b/>
      <w:sz w:val="22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51CE2"/>
    <w:rPr>
      <w:rFonts w:ascii="Times New Roman" w:hAnsi="Times New Roman" w:cs="Times New Roman"/>
      <w:b/>
      <w:sz w:val="22"/>
      <w:u w:val="single"/>
      <w:lang w:eastAsia="en-US"/>
    </w:rPr>
  </w:style>
  <w:style w:type="paragraph" w:customStyle="1" w:styleId="Informal1">
    <w:name w:val="Informal1"/>
    <w:basedOn w:val="Normal"/>
    <w:uiPriority w:val="99"/>
    <w:rsid w:val="00991BC4"/>
    <w:pPr>
      <w:suppressAutoHyphens/>
    </w:pPr>
    <w:rPr>
      <w:kern w:val="1"/>
      <w:lang w:val="en-US" w:eastAsia="ar-SA"/>
    </w:rPr>
  </w:style>
  <w:style w:type="character" w:styleId="PageNumber">
    <w:name w:val="page number"/>
    <w:basedOn w:val="DefaultParagraphFont"/>
    <w:uiPriority w:val="99"/>
    <w:rsid w:val="000336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AE"/>
    <w:rPr>
      <w:rFonts w:ascii="Tahoma" w:eastAsia="Times New Roman" w:hAnsi="Tahoma" w:cs="Tahoma"/>
      <w:sz w:val="16"/>
      <w:szCs w:val="16"/>
      <w:lang w:eastAsia="cy-GB"/>
    </w:rPr>
  </w:style>
  <w:style w:type="character" w:styleId="FollowedHyperlink">
    <w:name w:val="FollowedHyperlink"/>
    <w:basedOn w:val="DefaultParagraphFont"/>
    <w:uiPriority w:val="99"/>
    <w:semiHidden/>
    <w:unhideWhenUsed/>
    <w:rsid w:val="00F456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ynopsis xmlns="cccface7-d4b8-4b22-828c-8cfabd49883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1DDCB42813646B904CBA2248C96A9" ma:contentTypeVersion="1" ma:contentTypeDescription="Create a new document." ma:contentTypeScope="" ma:versionID="be68721a7060a544b3049cf73b2ab5ec">
  <xsd:schema xmlns:xsd="http://www.w3.org/2001/XMLSchema" xmlns:p="http://schemas.microsoft.com/office/2006/metadata/properties" xmlns:ns1="http://schemas.microsoft.com/sharepoint/v3" xmlns:ns2="cccface7-d4b8-4b22-828c-8cfabd498834" targetNamespace="http://schemas.microsoft.com/office/2006/metadata/properties" ma:root="true" ma:fieldsID="59c9246d20e6712fa31e2cd3591ff647" ns1:_="" ns2:_="">
    <xsd:import namespace="http://schemas.microsoft.com/sharepoint/v3"/>
    <xsd:import namespace="cccface7-d4b8-4b22-828c-8cfabd4988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ynopsi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cccface7-d4b8-4b22-828c-8cfabd498834" elementFormDefault="qualified">
    <xsd:import namespace="http://schemas.microsoft.com/office/2006/documentManagement/types"/>
    <xsd:element name="Synopsis" ma:index="10" nillable="true" ma:displayName="Synopsis" ma:internalName="Synopsi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4582-6E61-4F4B-81BC-DCCE94916AE5}">
  <ds:schemaRefs>
    <ds:schemaRef ds:uri="http://schemas.microsoft.com/office/2006/metadata/properties"/>
    <ds:schemaRef ds:uri="cccface7-d4b8-4b22-828c-8cfabd49883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7301C4C-07BE-464E-AB38-81066098B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cface7-d4b8-4b22-828c-8cfabd4988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A17435B-B40C-4F1E-8843-FBD4B93D3A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37EDCA-6D25-40F7-993E-D9766186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Birchgrove PDG Spend Plan 2015-2016</vt:lpstr>
    </vt:vector>
  </TitlesOfParts>
  <Company>Cynnal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Birchgrove PDG Spend Plan 2015-2016</dc:title>
  <dc:creator>Matthew O'Brien</dc:creator>
  <cp:lastModifiedBy>ncrav</cp:lastModifiedBy>
  <cp:revision>2</cp:revision>
  <cp:lastPrinted>2014-07-11T15:19:00Z</cp:lastPrinted>
  <dcterms:created xsi:type="dcterms:W3CDTF">2019-11-04T21:49:00Z</dcterms:created>
  <dcterms:modified xsi:type="dcterms:W3CDTF">2019-11-04T21:49:00Z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A4082510</vt:lpwstr>
  </property>
  <property fmtid="{D5CDD505-2E9C-101B-9397-08002B2CF9AE}" pid="3" name="Objective-Title">
    <vt:lpwstr>SEGPDG WORKSHOP NOVEMBER 2012 - RESOURCES - NORTH WALES 1</vt:lpwstr>
  </property>
  <property fmtid="{D5CDD505-2E9C-101B-9397-08002B2CF9AE}" pid="4" name="Objective-Comment">
    <vt:lpwstr/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Owner">
    <vt:lpwstr>MacDonald, Gordon (DfES - SMED)</vt:lpwstr>
  </property>
  <property fmtid="{D5CDD505-2E9C-101B-9397-08002B2CF9AE}" pid="9" name="Objective-Path">
    <vt:lpwstr>Objective Global Folder:Corporate File Plan:WORKING WITH STAKEHOLDERS:Grant &amp; Funding Management:Grant &amp; Funding Management - Education &amp; Skills:School Effectiveness &amp; Pupil Deprivation Grant:Meeting Agenda, Minutes &amp; Papers:School Effectiveness Grant &amp; P</vt:lpwstr>
  </property>
  <property fmtid="{D5CDD505-2E9C-101B-9397-08002B2CF9AE}" pid="10" name="Objective-Parent">
    <vt:lpwstr>School Effectiveness Grant &amp; Pupil Deprevation Grant - Regional Co-Ordinators Group 2012-13</vt:lpwstr>
  </property>
  <property fmtid="{D5CDD505-2E9C-101B-9397-08002B2CF9AE}" pid="11" name="Objective-State">
    <vt:lpwstr>Being Drafted</vt:lpwstr>
  </property>
  <property fmtid="{D5CDD505-2E9C-101B-9397-08002B2CF9AE}" pid="12" name="Objective-Version">
    <vt:lpwstr>0.2</vt:lpwstr>
  </property>
  <property fmtid="{D5CDD505-2E9C-101B-9397-08002B2CF9AE}" pid="13" name="Objective-VersionNumber">
    <vt:r8>7.47161725682218E-304</vt:r8>
  </property>
  <property fmtid="{D5CDD505-2E9C-101B-9397-08002B2CF9AE}" pid="14" name="Objective-VersionComment">
    <vt:lpwstr>Version 2</vt:lpwstr>
  </property>
  <property fmtid="{D5CDD505-2E9C-101B-9397-08002B2CF9AE}" pid="15" name="Objective-FileNumber">
    <vt:lpwstr/>
  </property>
  <property fmtid="{D5CDD505-2E9C-101B-9397-08002B2CF9AE}" pid="16" name="Objective-Classification">
    <vt:lpwstr>[Inherited - Unclassified]</vt:lpwstr>
  </property>
  <property fmtid="{D5CDD505-2E9C-101B-9397-08002B2CF9AE}" pid="17" name="Objective-Caveats">
    <vt:lpwstr/>
  </property>
  <property fmtid="{D5CDD505-2E9C-101B-9397-08002B2CF9AE}" pid="18" name="Objective-Language [system]">
    <vt:lpwstr>English (eng)</vt:lpwstr>
  </property>
  <property fmtid="{D5CDD505-2E9C-101B-9397-08002B2CF9AE}" pid="19" name="Objective-What to Keep [system]">
    <vt:lpwstr>No</vt:lpwstr>
  </property>
  <property fmtid="{D5CDD505-2E9C-101B-9397-08002B2CF9AE}" pid="20" name="Objective-Official Translation [system]">
    <vt:lpwstr/>
  </property>
  <property fmtid="{D5CDD505-2E9C-101B-9397-08002B2CF9AE}" pid="21" name="ContentTypeId">
    <vt:lpwstr>0x0101002E51DDCB42813646B904CBA2248C96A9</vt:lpwstr>
  </property>
</Properties>
</file>